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7E93" w14:textId="5CD7D92E" w:rsidR="005B0986" w:rsidRPr="00D01FA2" w:rsidRDefault="005B0986" w:rsidP="00F742DA">
      <w:pPr>
        <w:pStyle w:val="Caption"/>
        <w:jc w:val="cente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056"/>
      </w:tblGrid>
      <w:tr w:rsidR="005B0986" w:rsidRPr="00D01FA2" w14:paraId="26EE7B2F" w14:textId="77777777" w:rsidTr="000E5D23">
        <w:trPr>
          <w:trHeight w:val="719"/>
        </w:trPr>
        <w:tc>
          <w:tcPr>
            <w:tcW w:w="9060" w:type="dxa"/>
            <w:gridSpan w:val="2"/>
            <w:tcBorders>
              <w:bottom w:val="single" w:sz="4" w:space="0" w:color="365F91"/>
            </w:tcBorders>
            <w:vAlign w:val="center"/>
          </w:tcPr>
          <w:p w14:paraId="7429B2A3" w14:textId="50C4EB81" w:rsidR="00643B1C" w:rsidRPr="00D01FA2" w:rsidRDefault="005B0986" w:rsidP="00643B1C">
            <w:pPr>
              <w:spacing w:before="120" w:after="0" w:line="240" w:lineRule="auto"/>
              <w:jc w:val="center"/>
              <w:rPr>
                <w:rFonts w:asciiTheme="minorBidi" w:hAnsiTheme="minorBidi"/>
                <w:b/>
                <w:bCs/>
                <w:sz w:val="20"/>
                <w:szCs w:val="20"/>
              </w:rPr>
            </w:pPr>
            <w:r w:rsidRPr="00D01FA2">
              <w:rPr>
                <w:rFonts w:asciiTheme="minorBidi" w:hAnsiTheme="minorBidi"/>
                <w:b/>
                <w:bCs/>
                <w:sz w:val="20"/>
                <w:szCs w:val="20"/>
              </w:rPr>
              <w:t>IZVJEŠĆE O</w:t>
            </w:r>
            <w:r w:rsidR="00643B1C" w:rsidRPr="00D01FA2">
              <w:rPr>
                <w:rFonts w:asciiTheme="minorBidi" w:hAnsiTheme="minorBidi"/>
                <w:b/>
                <w:bCs/>
                <w:sz w:val="20"/>
                <w:szCs w:val="20"/>
              </w:rPr>
              <w:t xml:space="preserve"> PROVEDENOM</w:t>
            </w:r>
            <w:r w:rsidRPr="00D01FA2">
              <w:rPr>
                <w:rFonts w:asciiTheme="minorBidi" w:hAnsiTheme="minorBidi"/>
                <w:b/>
                <w:bCs/>
                <w:sz w:val="20"/>
                <w:szCs w:val="20"/>
              </w:rPr>
              <w:t xml:space="preserve"> SAVJETOVANJU S JAVNOŠĆU</w:t>
            </w:r>
            <w:r w:rsidR="00643B1C" w:rsidRPr="00D01FA2">
              <w:rPr>
                <w:rFonts w:asciiTheme="minorBidi" w:hAnsiTheme="minorBidi"/>
                <w:b/>
                <w:bCs/>
                <w:sz w:val="20"/>
                <w:szCs w:val="20"/>
              </w:rPr>
              <w:t xml:space="preserve"> U POSTUPKU</w:t>
            </w:r>
          </w:p>
          <w:p w14:paraId="6A2FCA7A" w14:textId="19E8446A" w:rsidR="00643B1C" w:rsidRPr="00D01FA2" w:rsidRDefault="005B0986" w:rsidP="00643B1C">
            <w:pPr>
              <w:spacing w:after="0" w:line="240" w:lineRule="auto"/>
              <w:jc w:val="center"/>
              <w:rPr>
                <w:rFonts w:asciiTheme="minorBidi" w:hAnsiTheme="minorBidi"/>
                <w:b/>
                <w:bCs/>
                <w:sz w:val="20"/>
                <w:szCs w:val="20"/>
              </w:rPr>
            </w:pPr>
            <w:r w:rsidRPr="00D01FA2">
              <w:rPr>
                <w:rFonts w:asciiTheme="minorBidi" w:hAnsiTheme="minorBidi"/>
                <w:b/>
                <w:bCs/>
                <w:sz w:val="20"/>
                <w:szCs w:val="20"/>
              </w:rPr>
              <w:t xml:space="preserve"> DONOŠENJA </w:t>
            </w:r>
            <w:r w:rsidR="00FE6900" w:rsidRPr="00D01FA2">
              <w:rPr>
                <w:rFonts w:asciiTheme="minorBidi" w:hAnsiTheme="minorBidi"/>
                <w:b/>
                <w:bCs/>
                <w:sz w:val="20"/>
                <w:szCs w:val="20"/>
              </w:rPr>
              <w:t xml:space="preserve">ODLUKE </w:t>
            </w:r>
            <w:r w:rsidR="00D2085E" w:rsidRPr="00D01FA2">
              <w:rPr>
                <w:rFonts w:asciiTheme="minorBidi" w:hAnsiTheme="minorBidi"/>
                <w:b/>
                <w:bCs/>
                <w:sz w:val="20"/>
                <w:szCs w:val="20"/>
              </w:rPr>
              <w:t>O IZMJEN</w:t>
            </w:r>
            <w:r w:rsidR="00811B9E" w:rsidRPr="00D01FA2">
              <w:rPr>
                <w:rFonts w:asciiTheme="minorBidi" w:hAnsiTheme="minorBidi"/>
                <w:b/>
                <w:bCs/>
                <w:sz w:val="20"/>
                <w:szCs w:val="20"/>
              </w:rPr>
              <w:t>AMA</w:t>
            </w:r>
            <w:r w:rsidR="00D2085E" w:rsidRPr="00D01FA2">
              <w:rPr>
                <w:rFonts w:asciiTheme="minorBidi" w:hAnsiTheme="minorBidi"/>
                <w:b/>
                <w:bCs/>
                <w:sz w:val="20"/>
                <w:szCs w:val="20"/>
              </w:rPr>
              <w:t xml:space="preserve"> I DOPUNI ODLUKE O NAČINU </w:t>
            </w:r>
            <w:r w:rsidR="002C171E" w:rsidRPr="00D01FA2">
              <w:rPr>
                <w:rFonts w:asciiTheme="minorBidi" w:hAnsiTheme="minorBidi"/>
                <w:b/>
                <w:bCs/>
                <w:sz w:val="20"/>
                <w:szCs w:val="20"/>
              </w:rPr>
              <w:t xml:space="preserve">PRUŽANJA JAVNE USLUGE </w:t>
            </w:r>
            <w:r w:rsidR="00AF0530" w:rsidRPr="00D01FA2">
              <w:rPr>
                <w:rFonts w:asciiTheme="minorBidi" w:hAnsiTheme="minorBidi"/>
                <w:b/>
                <w:bCs/>
                <w:sz w:val="20"/>
                <w:szCs w:val="20"/>
              </w:rPr>
              <w:t>SAKUPLJANJA KOMUNALNOG OTPADA NA PODRUČJU GRADA KARLOVCA</w:t>
            </w:r>
          </w:p>
          <w:p w14:paraId="650B2745" w14:textId="77777777" w:rsidR="00643B1C" w:rsidRPr="00D01FA2" w:rsidRDefault="00643B1C" w:rsidP="00643B1C">
            <w:pPr>
              <w:spacing w:after="0" w:line="240" w:lineRule="auto"/>
              <w:jc w:val="center"/>
              <w:rPr>
                <w:rFonts w:asciiTheme="minorBidi" w:hAnsiTheme="minorBidi"/>
                <w:b/>
                <w:bCs/>
                <w:sz w:val="20"/>
                <w:szCs w:val="20"/>
              </w:rPr>
            </w:pPr>
          </w:p>
          <w:p w14:paraId="3955457D" w14:textId="0A9693DD" w:rsidR="005B0986" w:rsidRPr="00D01FA2" w:rsidRDefault="005B0986" w:rsidP="00AF0530">
            <w:pPr>
              <w:spacing w:after="0" w:line="240" w:lineRule="auto"/>
              <w:jc w:val="center"/>
              <w:rPr>
                <w:rFonts w:asciiTheme="minorBidi" w:hAnsiTheme="minorBidi"/>
                <w:b/>
                <w:bCs/>
                <w:sz w:val="20"/>
                <w:szCs w:val="20"/>
              </w:rPr>
            </w:pPr>
          </w:p>
          <w:p w14:paraId="17579B8A" w14:textId="77777777" w:rsidR="005B0986" w:rsidRPr="00D01FA2" w:rsidRDefault="005B0986" w:rsidP="00941D1C">
            <w:pPr>
              <w:spacing w:after="0" w:line="240" w:lineRule="auto"/>
              <w:jc w:val="center"/>
              <w:rPr>
                <w:rFonts w:asciiTheme="minorBidi" w:hAnsiTheme="minorBidi"/>
                <w:b/>
                <w:bCs/>
                <w:sz w:val="20"/>
                <w:szCs w:val="20"/>
              </w:rPr>
            </w:pPr>
          </w:p>
          <w:p w14:paraId="16F6A96B" w14:textId="0EBDEA49" w:rsidR="005B0986" w:rsidRPr="00D01FA2" w:rsidRDefault="005B0986" w:rsidP="00643B1C">
            <w:pPr>
              <w:spacing w:after="0" w:line="240" w:lineRule="auto"/>
              <w:rPr>
                <w:rFonts w:asciiTheme="minorBidi" w:hAnsiTheme="minorBidi"/>
                <w:b/>
                <w:bCs/>
                <w:sz w:val="20"/>
                <w:szCs w:val="20"/>
              </w:rPr>
            </w:pPr>
            <w:r w:rsidRPr="00D01FA2">
              <w:rPr>
                <w:rFonts w:asciiTheme="minorBidi" w:hAnsiTheme="minorBidi"/>
                <w:b/>
                <w:bCs/>
                <w:sz w:val="20"/>
                <w:szCs w:val="20"/>
              </w:rPr>
              <w:t xml:space="preserve">Nositelj izrade izvješća: </w:t>
            </w:r>
            <w:r w:rsidR="003D7D43" w:rsidRPr="00D01FA2">
              <w:rPr>
                <w:rFonts w:asciiTheme="minorBidi" w:hAnsiTheme="minorBidi"/>
                <w:b/>
                <w:bCs/>
                <w:sz w:val="20"/>
                <w:szCs w:val="20"/>
              </w:rPr>
              <w:t>Upravni odjel za gradnju i zaštitu okoliša</w:t>
            </w:r>
          </w:p>
          <w:p w14:paraId="73E4ADDA" w14:textId="43255765" w:rsidR="005B0986" w:rsidRPr="00D01FA2" w:rsidRDefault="003D7D43" w:rsidP="00643B1C">
            <w:pPr>
              <w:spacing w:after="120" w:line="240" w:lineRule="auto"/>
              <w:rPr>
                <w:rFonts w:asciiTheme="minorBidi" w:hAnsiTheme="minorBidi"/>
                <w:b/>
                <w:bCs/>
                <w:sz w:val="20"/>
                <w:szCs w:val="20"/>
              </w:rPr>
            </w:pPr>
            <w:r w:rsidRPr="00D01FA2">
              <w:rPr>
                <w:rFonts w:asciiTheme="minorBidi" w:hAnsiTheme="minorBidi"/>
                <w:b/>
                <w:bCs/>
                <w:sz w:val="20"/>
                <w:szCs w:val="20"/>
              </w:rPr>
              <w:t>Karlovac, 18. svibnja 2026. godine</w:t>
            </w:r>
          </w:p>
        </w:tc>
      </w:tr>
      <w:tr w:rsidR="005B0986" w:rsidRPr="00D01FA2" w14:paraId="42ACF8A7" w14:textId="77777777" w:rsidTr="000E5D23">
        <w:trPr>
          <w:trHeight w:val="777"/>
        </w:trPr>
        <w:tc>
          <w:tcPr>
            <w:tcW w:w="4004" w:type="dxa"/>
            <w:tcBorders>
              <w:top w:val="single" w:sz="4" w:space="0" w:color="365F91"/>
              <w:left w:val="single" w:sz="4" w:space="0" w:color="365F91"/>
              <w:bottom w:val="single" w:sz="4" w:space="0" w:color="365F91"/>
              <w:right w:val="single" w:sz="4" w:space="0" w:color="365F91"/>
            </w:tcBorders>
            <w:vAlign w:val="center"/>
          </w:tcPr>
          <w:p w14:paraId="25F87EA3" w14:textId="77777777" w:rsidR="005B0986" w:rsidRPr="00D01FA2" w:rsidRDefault="005B09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 xml:space="preserve">Naziv akta za koji je provedeno savjetovanje s javnošću </w:t>
            </w:r>
          </w:p>
        </w:tc>
        <w:tc>
          <w:tcPr>
            <w:tcW w:w="5056" w:type="dxa"/>
            <w:tcBorders>
              <w:top w:val="single" w:sz="4" w:space="0" w:color="365F91"/>
              <w:left w:val="single" w:sz="4" w:space="0" w:color="365F91"/>
              <w:bottom w:val="single" w:sz="4" w:space="0" w:color="365F91"/>
              <w:right w:val="single" w:sz="4" w:space="0" w:color="365F91"/>
            </w:tcBorders>
            <w:vAlign w:val="center"/>
          </w:tcPr>
          <w:p w14:paraId="491EEE68" w14:textId="7CA17D3E" w:rsidR="005B0986" w:rsidRPr="00D01FA2" w:rsidRDefault="00687A47" w:rsidP="00E96086">
            <w:pPr>
              <w:spacing w:beforeLines="60" w:before="144" w:afterLines="60" w:after="144" w:line="240" w:lineRule="auto"/>
              <w:jc w:val="both"/>
              <w:rPr>
                <w:rFonts w:asciiTheme="minorBidi" w:hAnsiTheme="minorBidi"/>
                <w:sz w:val="20"/>
                <w:szCs w:val="20"/>
              </w:rPr>
            </w:pPr>
            <w:r w:rsidRPr="00D01FA2">
              <w:rPr>
                <w:rFonts w:asciiTheme="minorBidi" w:hAnsiTheme="minorBidi"/>
                <w:sz w:val="20"/>
                <w:szCs w:val="20"/>
              </w:rPr>
              <w:t>Odluka o izmjenama i dopuni Odluke o načinu pružanja javne usluge sakupljanja komunalnog otpada na području Grada Karlovca</w:t>
            </w:r>
          </w:p>
        </w:tc>
      </w:tr>
      <w:tr w:rsidR="005B0986" w:rsidRPr="00D01FA2" w14:paraId="32B68336" w14:textId="77777777" w:rsidTr="000E5D23">
        <w:trPr>
          <w:trHeight w:val="831"/>
        </w:trPr>
        <w:tc>
          <w:tcPr>
            <w:tcW w:w="4004" w:type="dxa"/>
            <w:tcBorders>
              <w:top w:val="single" w:sz="4" w:space="0" w:color="365F91"/>
              <w:left w:val="single" w:sz="4" w:space="0" w:color="365F91"/>
              <w:bottom w:val="single" w:sz="4" w:space="0" w:color="365F91"/>
              <w:right w:val="single" w:sz="4" w:space="0" w:color="365F91"/>
            </w:tcBorders>
            <w:vAlign w:val="center"/>
          </w:tcPr>
          <w:p w14:paraId="00CBF597" w14:textId="77777777" w:rsidR="005B0986" w:rsidRPr="00D01FA2" w:rsidRDefault="005B09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 xml:space="preserve">Naziv tijela nadležnog za izradu nacrta / provedbu savjetovanja </w:t>
            </w:r>
          </w:p>
        </w:tc>
        <w:tc>
          <w:tcPr>
            <w:tcW w:w="5056" w:type="dxa"/>
            <w:tcBorders>
              <w:top w:val="single" w:sz="4" w:space="0" w:color="365F91"/>
              <w:left w:val="single" w:sz="4" w:space="0" w:color="365F91"/>
              <w:bottom w:val="single" w:sz="4" w:space="0" w:color="365F91"/>
              <w:right w:val="single" w:sz="4" w:space="0" w:color="365F91"/>
            </w:tcBorders>
            <w:vAlign w:val="center"/>
          </w:tcPr>
          <w:p w14:paraId="7164F006" w14:textId="77777777" w:rsidR="00136C6E" w:rsidRPr="00D01FA2" w:rsidRDefault="00136C6E" w:rsidP="00136C6E">
            <w:pPr>
              <w:spacing w:after="0" w:line="240" w:lineRule="auto"/>
              <w:rPr>
                <w:rFonts w:asciiTheme="minorBidi" w:hAnsiTheme="minorBidi"/>
                <w:sz w:val="20"/>
                <w:szCs w:val="20"/>
              </w:rPr>
            </w:pPr>
            <w:r w:rsidRPr="00D01FA2">
              <w:rPr>
                <w:rFonts w:asciiTheme="minorBidi" w:hAnsiTheme="minorBidi"/>
                <w:sz w:val="20"/>
                <w:szCs w:val="20"/>
              </w:rPr>
              <w:t>Upravni odjel za gradnju i zaštitu okoliša</w:t>
            </w:r>
          </w:p>
          <w:p w14:paraId="2B9949F2" w14:textId="77777777" w:rsidR="005B0986" w:rsidRPr="00D01FA2" w:rsidRDefault="005B0986" w:rsidP="00E96086">
            <w:pPr>
              <w:spacing w:beforeLines="60" w:before="144" w:afterLines="60" w:after="144" w:line="240" w:lineRule="auto"/>
              <w:jc w:val="both"/>
              <w:rPr>
                <w:rFonts w:asciiTheme="minorBidi" w:hAnsiTheme="minorBidi"/>
                <w:sz w:val="20"/>
                <w:szCs w:val="20"/>
              </w:rPr>
            </w:pPr>
          </w:p>
        </w:tc>
      </w:tr>
      <w:tr w:rsidR="005B0986" w:rsidRPr="00D01FA2" w14:paraId="66B0CA38" w14:textId="77777777" w:rsidTr="000E5D23">
        <w:trPr>
          <w:trHeight w:val="2402"/>
        </w:trPr>
        <w:tc>
          <w:tcPr>
            <w:tcW w:w="4004" w:type="dxa"/>
            <w:tcBorders>
              <w:top w:val="single" w:sz="4" w:space="0" w:color="365F91"/>
              <w:left w:val="single" w:sz="4" w:space="0" w:color="365F91"/>
              <w:bottom w:val="single" w:sz="4" w:space="0" w:color="auto"/>
              <w:right w:val="single" w:sz="4" w:space="0" w:color="365F91"/>
            </w:tcBorders>
            <w:vAlign w:val="center"/>
          </w:tcPr>
          <w:p w14:paraId="1ED479BC" w14:textId="77777777" w:rsidR="005B0986" w:rsidRPr="00D01FA2" w:rsidRDefault="005B09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Razlozi za donošenje akta i ciljevi koji se njime žele postići uz sažetak ključnih pitanja</w:t>
            </w:r>
          </w:p>
        </w:tc>
        <w:tc>
          <w:tcPr>
            <w:tcW w:w="5056" w:type="dxa"/>
            <w:tcBorders>
              <w:top w:val="single" w:sz="4" w:space="0" w:color="365F91"/>
              <w:left w:val="single" w:sz="4" w:space="0" w:color="365F91"/>
              <w:bottom w:val="single" w:sz="4" w:space="0" w:color="365F91"/>
              <w:right w:val="single" w:sz="4" w:space="0" w:color="365F91"/>
            </w:tcBorders>
          </w:tcPr>
          <w:p w14:paraId="0224E033" w14:textId="5CA73E4B" w:rsidR="002528CE" w:rsidRPr="00D01FA2" w:rsidRDefault="002528CE" w:rsidP="002528CE">
            <w:pPr>
              <w:tabs>
                <w:tab w:val="center" w:pos="7020"/>
              </w:tabs>
              <w:spacing w:after="0" w:line="240" w:lineRule="auto"/>
              <w:jc w:val="both"/>
              <w:rPr>
                <w:rFonts w:asciiTheme="minorBidi" w:eastAsia="Calibri" w:hAnsiTheme="minorBidi"/>
                <w:color w:val="000000"/>
                <w:sz w:val="20"/>
                <w:szCs w:val="20"/>
                <w:lang w:eastAsia="en-US"/>
              </w:rPr>
            </w:pPr>
            <w:r w:rsidRPr="00D01FA2">
              <w:rPr>
                <w:rFonts w:asciiTheme="minorBidi" w:eastAsia="Calibri" w:hAnsiTheme="minorBidi"/>
                <w:sz w:val="20"/>
                <w:szCs w:val="20"/>
                <w:lang w:eastAsia="en-US"/>
              </w:rPr>
              <w:t xml:space="preserve">  Sukladno Zakonu o gospodarenju otpadom („Narodne novine“ br. 84/21 i 143/23 – Odluka Ustavnog suda Republike Hrvatske, dalje u tekstu: Zakon) javna usluga sakupljanja komunalnog otpada podrazumijeva prikupljanje tog otpada na području pružanja javne usluge putem spremnika od pojedinih korisnika i prijevoz i predaju tog otpada ovlaštenoj osobi za obradu takvog otpada. Javna usluga je usluga od općeg interesa, a uključuje</w:t>
            </w:r>
            <w:r w:rsidRPr="00D01FA2">
              <w:rPr>
                <w:rFonts w:asciiTheme="minorBidi" w:eastAsia="Calibri" w:hAnsiTheme="minorBidi"/>
                <w:color w:val="000000"/>
                <w:sz w:val="20"/>
                <w:szCs w:val="20"/>
                <w:lang w:eastAsia="en-US"/>
              </w:rPr>
              <w:t xml:space="preserve"> uslugu prikupljanja na lokaciji obračunskog mjesta korisnika usluge miješanog komunalnog otpada, biootpada, reciklabilnog komunalnog otpada i jednom godišnje glomaznog otpada te uslugu preuzimanja otpada u reciklažnom dvorištu, kao i uslugu prijevoza i predaje otpada ovlaštenoj osobi. </w:t>
            </w:r>
            <w:r w:rsidRPr="00D01FA2">
              <w:rPr>
                <w:rFonts w:asciiTheme="minorBidi" w:eastAsia="Calibri" w:hAnsiTheme="minorBidi"/>
                <w:sz w:val="20"/>
                <w:szCs w:val="20"/>
                <w:lang w:eastAsia="en-US"/>
              </w:rPr>
              <w:t xml:space="preserve">Odlukom o načinu pružanja javne usluge se osigurava </w:t>
            </w:r>
            <w:r w:rsidRPr="00D01FA2">
              <w:rPr>
                <w:rFonts w:asciiTheme="minorBidi" w:eastAsia="Calibri" w:hAnsiTheme="minorBidi"/>
                <w:color w:val="000000"/>
                <w:sz w:val="20"/>
                <w:szCs w:val="20"/>
                <w:lang w:eastAsia="en-US"/>
              </w:rPr>
              <w:t xml:space="preserve">obavljanje javne usluge sakupljanja komunalnog otpada na kvalitetan, postojan i ekonomski učinkovit način, izbjegavajući neopravdano visoke troškove, u skladu s načelima održivog razvoja, zaštite okoliša, javnost rada i onečišćivač plaća, a sve kako bi se poticalo odvojeno sakupljanje otpada. </w:t>
            </w:r>
          </w:p>
          <w:p w14:paraId="27C719A4" w14:textId="41365A54" w:rsidR="00652B07" w:rsidRPr="00D01FA2" w:rsidRDefault="00652B07" w:rsidP="00652B07">
            <w:pPr>
              <w:spacing w:after="0" w:line="240" w:lineRule="auto"/>
              <w:jc w:val="both"/>
              <w:rPr>
                <w:rFonts w:asciiTheme="minorBidi" w:eastAsia="Myriad Pro" w:hAnsiTheme="minorBidi"/>
                <w:kern w:val="2"/>
                <w:sz w:val="20"/>
                <w:szCs w:val="20"/>
                <w:lang w:eastAsia="en-US"/>
                <w14:ligatures w14:val="standardContextual"/>
              </w:rPr>
            </w:pPr>
            <w:r w:rsidRPr="00D01FA2">
              <w:rPr>
                <w:rFonts w:asciiTheme="minorBidi" w:eastAsia="Myriad Pro" w:hAnsiTheme="minorBidi"/>
                <w:kern w:val="2"/>
                <w:sz w:val="20"/>
                <w:szCs w:val="20"/>
                <w:lang w:eastAsia="en-US"/>
                <w14:ligatures w14:val="standardContextual"/>
              </w:rPr>
              <w:t>Davatelj usluge Čistoća d.o.o. predložila je promjenu cijene obvezne minimalne javne usluge jer troškovi pružanja javne usluge sakupljanja komunalnog otpada od 2022. godine kontinuirano rastu. U navedenom razdoblju značajno je porasla cijena energenata, materijalna prava radnika, uvedena je naknada za odlaganje otpada, povećani su troškovi obrade i zbrinjavanja reciklabilnog otpada i biootpada, a potrebna je nabava novih vozila, spremnika i opreme.</w:t>
            </w:r>
          </w:p>
          <w:p w14:paraId="584EEB96" w14:textId="3D16DE02" w:rsidR="005B0986" w:rsidRPr="00D01FA2" w:rsidRDefault="00652B07" w:rsidP="00652B07">
            <w:pPr>
              <w:spacing w:beforeLines="60" w:before="144" w:afterLines="60" w:after="144" w:line="240" w:lineRule="auto"/>
              <w:jc w:val="both"/>
              <w:rPr>
                <w:rFonts w:asciiTheme="minorBidi" w:hAnsiTheme="minorBidi"/>
                <w:bCs/>
                <w:sz w:val="20"/>
                <w:szCs w:val="20"/>
              </w:rPr>
            </w:pPr>
            <w:r w:rsidRPr="00D01FA2">
              <w:rPr>
                <w:rFonts w:asciiTheme="minorBidi" w:eastAsia="Myriad Pro" w:hAnsiTheme="minorBidi"/>
                <w:kern w:val="2"/>
                <w:sz w:val="20"/>
                <w:szCs w:val="20"/>
                <w:lang w:eastAsia="en-US"/>
                <w14:ligatures w14:val="standardContextual"/>
              </w:rPr>
              <w:t>Također je potrebno uskladiti odredbe odluke kojima su utvrđeni iznosi u kunama te ih zamijeniti odgovarajućim iznosima u eurima, s obzirom na promjenu valute u Republici Hrvatskoj.</w:t>
            </w:r>
          </w:p>
        </w:tc>
      </w:tr>
      <w:tr w:rsidR="005B0986" w:rsidRPr="00D01FA2" w14:paraId="366C5695" w14:textId="77777777" w:rsidTr="000E5D23">
        <w:trPr>
          <w:trHeight w:val="525"/>
        </w:trPr>
        <w:tc>
          <w:tcPr>
            <w:tcW w:w="4004" w:type="dxa"/>
            <w:tcBorders>
              <w:top w:val="single" w:sz="4" w:space="0" w:color="auto"/>
              <w:left w:val="single" w:sz="4" w:space="0" w:color="365F91"/>
              <w:bottom w:val="single" w:sz="4" w:space="0" w:color="auto"/>
              <w:right w:val="single" w:sz="4" w:space="0" w:color="365F91"/>
            </w:tcBorders>
            <w:vAlign w:val="center"/>
          </w:tcPr>
          <w:p w14:paraId="14C3AA4D" w14:textId="6333B4F2" w:rsidR="005B0986" w:rsidRPr="00D01FA2" w:rsidRDefault="005B09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Objava dokumenata za savjetovanje</w:t>
            </w:r>
            <w:r w:rsidR="00F742DA" w:rsidRPr="00D01FA2">
              <w:rPr>
                <w:rFonts w:asciiTheme="minorBidi" w:hAnsiTheme="minorBidi"/>
                <w:b/>
                <w:bCs/>
                <w:sz w:val="20"/>
                <w:szCs w:val="20"/>
              </w:rPr>
              <w:t xml:space="preserve"> </w:t>
            </w:r>
          </w:p>
        </w:tc>
        <w:tc>
          <w:tcPr>
            <w:tcW w:w="5056" w:type="dxa"/>
            <w:tcBorders>
              <w:top w:val="single" w:sz="4" w:space="0" w:color="365F91"/>
              <w:left w:val="single" w:sz="4" w:space="0" w:color="365F91"/>
              <w:bottom w:val="single" w:sz="4" w:space="0" w:color="365F91"/>
              <w:right w:val="single" w:sz="4" w:space="0" w:color="365F91"/>
            </w:tcBorders>
            <w:vAlign w:val="center"/>
          </w:tcPr>
          <w:p w14:paraId="26055A77" w14:textId="061F7CBA" w:rsidR="005B0986" w:rsidRPr="006503AC" w:rsidRDefault="00AB2818" w:rsidP="00E96086">
            <w:pPr>
              <w:spacing w:beforeLines="60" w:before="144" w:afterLines="60" w:after="144" w:line="240" w:lineRule="auto"/>
              <w:rPr>
                <w:rFonts w:ascii="Arial Nova" w:hAnsi="Arial Nova"/>
                <w:bCs/>
                <w:sz w:val="20"/>
                <w:szCs w:val="20"/>
              </w:rPr>
            </w:pPr>
            <w:r w:rsidRPr="006503AC">
              <w:rPr>
                <w:rFonts w:ascii="Arial Nova" w:hAnsi="Arial Nova"/>
                <w:sz w:val="20"/>
                <w:szCs w:val="20"/>
              </w:rPr>
              <w:t>https://www.karlovac.hr/savjetovanja/nacrt-odluke-o-izmjenama-i-dopuni-odluke-o-nacinu-pruzanja-javne-usluge-sakupljanja-komunalnog-otpada-na-podrucju-grada-karlovc</w:t>
            </w:r>
            <w:r w:rsidR="00CD0766" w:rsidRPr="006503AC">
              <w:rPr>
                <w:rFonts w:ascii="Arial Nova" w:hAnsi="Arial Nova"/>
                <w:sz w:val="20"/>
                <w:szCs w:val="20"/>
              </w:rPr>
              <w:t>a/</w:t>
            </w:r>
          </w:p>
        </w:tc>
      </w:tr>
      <w:tr w:rsidR="005B0986" w:rsidRPr="00D01FA2" w14:paraId="05945D96" w14:textId="77777777" w:rsidTr="000E5D23">
        <w:trPr>
          <w:trHeight w:val="1073"/>
        </w:trPr>
        <w:tc>
          <w:tcPr>
            <w:tcW w:w="4004" w:type="dxa"/>
            <w:tcBorders>
              <w:top w:val="single" w:sz="4" w:space="0" w:color="auto"/>
              <w:left w:val="single" w:sz="4" w:space="0" w:color="365F91"/>
              <w:bottom w:val="single" w:sz="4" w:space="0" w:color="365F91"/>
              <w:right w:val="single" w:sz="4" w:space="0" w:color="365F91"/>
            </w:tcBorders>
            <w:vAlign w:val="center"/>
          </w:tcPr>
          <w:p w14:paraId="75425350" w14:textId="51B18C3E" w:rsidR="005B0986" w:rsidRPr="00D01FA2" w:rsidRDefault="00E960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lastRenderedPageBreak/>
              <w:t xml:space="preserve">Razdoblje provedbe savjetovanja </w:t>
            </w:r>
          </w:p>
        </w:tc>
        <w:tc>
          <w:tcPr>
            <w:tcW w:w="5056" w:type="dxa"/>
            <w:tcBorders>
              <w:top w:val="single" w:sz="4" w:space="0" w:color="365F91"/>
              <w:left w:val="single" w:sz="4" w:space="0" w:color="365F91"/>
              <w:right w:val="single" w:sz="4" w:space="0" w:color="365F91"/>
            </w:tcBorders>
            <w:vAlign w:val="center"/>
          </w:tcPr>
          <w:p w14:paraId="1E3B54A4" w14:textId="5C97F3CA" w:rsidR="00F742DA" w:rsidRPr="00D01FA2" w:rsidRDefault="00A0490C" w:rsidP="00E96086">
            <w:pPr>
              <w:spacing w:beforeLines="60" w:before="144" w:afterLines="60" w:after="144" w:line="240" w:lineRule="auto"/>
              <w:rPr>
                <w:rFonts w:asciiTheme="minorBidi" w:hAnsiTheme="minorBidi"/>
                <w:bCs/>
                <w:sz w:val="20"/>
                <w:szCs w:val="20"/>
              </w:rPr>
            </w:pPr>
            <w:r w:rsidRPr="00D01FA2">
              <w:rPr>
                <w:rFonts w:asciiTheme="minorBidi" w:hAnsiTheme="minorBidi"/>
                <w:bCs/>
                <w:sz w:val="20"/>
                <w:szCs w:val="20"/>
              </w:rPr>
              <w:t>o</w:t>
            </w:r>
            <w:r w:rsidR="00136C6E" w:rsidRPr="00D01FA2">
              <w:rPr>
                <w:rFonts w:asciiTheme="minorBidi" w:hAnsiTheme="minorBidi"/>
                <w:bCs/>
                <w:sz w:val="20"/>
                <w:szCs w:val="20"/>
              </w:rPr>
              <w:t xml:space="preserve">d 16. travnja 2026. godine do 16. svibnja 2026. godine </w:t>
            </w:r>
          </w:p>
          <w:p w14:paraId="3990DDA9" w14:textId="2C6CB116" w:rsidR="005B0986" w:rsidRPr="00D01FA2" w:rsidRDefault="005B0986" w:rsidP="00E96086">
            <w:pPr>
              <w:spacing w:beforeLines="60" w:before="144" w:afterLines="60" w:after="144" w:line="240" w:lineRule="auto"/>
              <w:rPr>
                <w:rFonts w:asciiTheme="minorBidi" w:hAnsiTheme="minorBidi"/>
                <w:bCs/>
                <w:sz w:val="20"/>
                <w:szCs w:val="20"/>
              </w:rPr>
            </w:pPr>
          </w:p>
        </w:tc>
      </w:tr>
      <w:tr w:rsidR="005B0986" w:rsidRPr="00D01FA2" w14:paraId="74D3580F" w14:textId="77777777" w:rsidTr="000E5D23">
        <w:trPr>
          <w:trHeight w:val="2183"/>
        </w:trPr>
        <w:tc>
          <w:tcPr>
            <w:tcW w:w="4004" w:type="dxa"/>
            <w:tcBorders>
              <w:top w:val="single" w:sz="4" w:space="0" w:color="365F91"/>
              <w:left w:val="single" w:sz="4" w:space="0" w:color="365F91"/>
              <w:bottom w:val="single" w:sz="4" w:space="0" w:color="365F91"/>
              <w:right w:val="single" w:sz="4" w:space="0" w:color="365F91"/>
            </w:tcBorders>
            <w:vAlign w:val="center"/>
          </w:tcPr>
          <w:p w14:paraId="27D6F805" w14:textId="77777777" w:rsidR="005B0986" w:rsidRPr="00D01FA2" w:rsidRDefault="005B09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 xml:space="preserve">Pregled osnovnih pokazatelja  uključenosti savjetovanja s javnošću </w:t>
            </w:r>
          </w:p>
        </w:tc>
        <w:tc>
          <w:tcPr>
            <w:tcW w:w="5056" w:type="dxa"/>
            <w:tcBorders>
              <w:top w:val="single" w:sz="4" w:space="0" w:color="365F91"/>
              <w:left w:val="single" w:sz="4" w:space="0" w:color="365F91"/>
              <w:bottom w:val="single" w:sz="4" w:space="0" w:color="365F91"/>
              <w:right w:val="single" w:sz="4" w:space="0" w:color="365F91"/>
            </w:tcBorders>
            <w:vAlign w:val="center"/>
          </w:tcPr>
          <w:p w14:paraId="7CF597F4" w14:textId="3EC50787" w:rsidR="00136C6E" w:rsidRPr="00D01FA2" w:rsidRDefault="00136C6E" w:rsidP="00E96086">
            <w:pPr>
              <w:spacing w:beforeLines="60" w:before="144" w:afterLines="60" w:after="144" w:line="240" w:lineRule="auto"/>
              <w:rPr>
                <w:rFonts w:asciiTheme="minorBidi" w:hAnsiTheme="minorBidi"/>
                <w:bCs/>
                <w:sz w:val="20"/>
                <w:szCs w:val="20"/>
              </w:rPr>
            </w:pPr>
            <w:r w:rsidRPr="00D01FA2">
              <w:rPr>
                <w:rFonts w:asciiTheme="minorBidi" w:hAnsiTheme="minorBidi"/>
                <w:bCs/>
                <w:sz w:val="20"/>
                <w:szCs w:val="20"/>
              </w:rPr>
              <w:t xml:space="preserve">Zaprimljeno </w:t>
            </w:r>
            <w:r w:rsidR="00AC203C" w:rsidRPr="009D624A">
              <w:rPr>
                <w:rFonts w:asciiTheme="minorBidi" w:hAnsiTheme="minorBidi"/>
                <w:bCs/>
                <w:sz w:val="20"/>
                <w:szCs w:val="20"/>
              </w:rPr>
              <w:t>7</w:t>
            </w:r>
            <w:r w:rsidRPr="009D624A">
              <w:rPr>
                <w:rFonts w:asciiTheme="minorBidi" w:hAnsiTheme="minorBidi"/>
                <w:bCs/>
                <w:sz w:val="20"/>
                <w:szCs w:val="20"/>
              </w:rPr>
              <w:t xml:space="preserve"> </w:t>
            </w:r>
            <w:r w:rsidRPr="00D01FA2">
              <w:rPr>
                <w:rFonts w:asciiTheme="minorBidi" w:hAnsiTheme="minorBidi"/>
                <w:bCs/>
                <w:sz w:val="20"/>
                <w:szCs w:val="20"/>
              </w:rPr>
              <w:t>primjedbi od 1 podnositelja</w:t>
            </w:r>
          </w:p>
        </w:tc>
      </w:tr>
      <w:tr w:rsidR="005B0986" w:rsidRPr="00D01FA2" w14:paraId="540AC297" w14:textId="77777777" w:rsidTr="000E5D23">
        <w:tc>
          <w:tcPr>
            <w:tcW w:w="4004" w:type="dxa"/>
            <w:tcBorders>
              <w:top w:val="single" w:sz="4" w:space="0" w:color="365F91"/>
              <w:left w:val="single" w:sz="4" w:space="0" w:color="365F91"/>
              <w:bottom w:val="single" w:sz="4" w:space="0" w:color="365F91"/>
              <w:right w:val="single" w:sz="4" w:space="0" w:color="365F91"/>
            </w:tcBorders>
            <w:vAlign w:val="center"/>
          </w:tcPr>
          <w:p w14:paraId="6AE6315B" w14:textId="77777777" w:rsidR="005B0986" w:rsidRPr="00D01FA2" w:rsidRDefault="005B09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 xml:space="preserve">Pregled prihvaćenih i neprihvaćenih mišljenja i prijedloga s obrazloženjem razloga za neprihvaćanje </w:t>
            </w:r>
          </w:p>
        </w:tc>
        <w:tc>
          <w:tcPr>
            <w:tcW w:w="5056" w:type="dxa"/>
            <w:tcBorders>
              <w:top w:val="single" w:sz="4" w:space="0" w:color="365F91"/>
              <w:left w:val="single" w:sz="4" w:space="0" w:color="365F91"/>
              <w:bottom w:val="single" w:sz="4" w:space="0" w:color="365F91"/>
              <w:right w:val="single" w:sz="4" w:space="0" w:color="365F91"/>
            </w:tcBorders>
            <w:vAlign w:val="center"/>
          </w:tcPr>
          <w:p w14:paraId="552DAB20" w14:textId="1D983A75" w:rsidR="005B0986" w:rsidRPr="00D01FA2" w:rsidRDefault="00717985" w:rsidP="00E96086">
            <w:pPr>
              <w:spacing w:beforeLines="60" w:before="144" w:afterLines="60" w:after="144" w:line="240" w:lineRule="auto"/>
              <w:rPr>
                <w:rFonts w:asciiTheme="minorBidi" w:hAnsiTheme="minorBidi"/>
                <w:bCs/>
                <w:sz w:val="20"/>
                <w:szCs w:val="20"/>
              </w:rPr>
            </w:pPr>
            <w:r>
              <w:rPr>
                <w:rFonts w:asciiTheme="minorBidi" w:hAnsiTheme="minorBidi"/>
                <w:bCs/>
                <w:sz w:val="20"/>
                <w:szCs w:val="20"/>
              </w:rPr>
              <w:t>T</w:t>
            </w:r>
            <w:r w:rsidR="00E738EC" w:rsidRPr="00D01FA2">
              <w:rPr>
                <w:rFonts w:asciiTheme="minorBidi" w:hAnsiTheme="minorBidi"/>
                <w:bCs/>
                <w:sz w:val="20"/>
                <w:szCs w:val="20"/>
              </w:rPr>
              <w:t>ablic</w:t>
            </w:r>
            <w:r w:rsidR="00CE4ED8">
              <w:rPr>
                <w:rFonts w:asciiTheme="minorBidi" w:hAnsiTheme="minorBidi"/>
                <w:bCs/>
                <w:sz w:val="20"/>
                <w:szCs w:val="20"/>
              </w:rPr>
              <w:t>a</w:t>
            </w:r>
            <w:r w:rsidR="00E738EC" w:rsidRPr="00D01FA2">
              <w:rPr>
                <w:rFonts w:asciiTheme="minorBidi" w:hAnsiTheme="minorBidi"/>
                <w:bCs/>
                <w:sz w:val="20"/>
                <w:szCs w:val="20"/>
              </w:rPr>
              <w:t xml:space="preserve"> </w:t>
            </w:r>
            <w:r>
              <w:rPr>
                <w:rFonts w:asciiTheme="minorBidi" w:hAnsiTheme="minorBidi"/>
                <w:bCs/>
                <w:sz w:val="20"/>
                <w:szCs w:val="20"/>
              </w:rPr>
              <w:t xml:space="preserve">u </w:t>
            </w:r>
            <w:r w:rsidR="00E738EC" w:rsidRPr="00D01FA2">
              <w:rPr>
                <w:rFonts w:asciiTheme="minorBidi" w:hAnsiTheme="minorBidi"/>
                <w:bCs/>
                <w:sz w:val="20"/>
                <w:szCs w:val="20"/>
              </w:rPr>
              <w:t>prilog</w:t>
            </w:r>
            <w:r>
              <w:rPr>
                <w:rFonts w:asciiTheme="minorBidi" w:hAnsiTheme="minorBidi"/>
                <w:bCs/>
                <w:sz w:val="20"/>
                <w:szCs w:val="20"/>
              </w:rPr>
              <w:t>u</w:t>
            </w:r>
          </w:p>
        </w:tc>
      </w:tr>
      <w:tr w:rsidR="005B0986" w:rsidRPr="00D01FA2" w14:paraId="5ED58CA0" w14:textId="77777777" w:rsidTr="000E5D23">
        <w:trPr>
          <w:trHeight w:val="785"/>
        </w:trPr>
        <w:tc>
          <w:tcPr>
            <w:tcW w:w="4004" w:type="dxa"/>
            <w:tcBorders>
              <w:top w:val="single" w:sz="4" w:space="0" w:color="365F91"/>
              <w:left w:val="single" w:sz="4" w:space="0" w:color="365F91"/>
              <w:bottom w:val="single" w:sz="4" w:space="0" w:color="365F91"/>
              <w:right w:val="single" w:sz="4" w:space="0" w:color="365F91"/>
            </w:tcBorders>
            <w:vAlign w:val="center"/>
          </w:tcPr>
          <w:p w14:paraId="3BD7FE23" w14:textId="77777777" w:rsidR="005B0986" w:rsidRPr="00D01FA2" w:rsidRDefault="005B0986" w:rsidP="00E96086">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 xml:space="preserve">Ostali oblici savjetovanja s javnošću </w:t>
            </w:r>
          </w:p>
        </w:tc>
        <w:tc>
          <w:tcPr>
            <w:tcW w:w="5056" w:type="dxa"/>
            <w:tcBorders>
              <w:top w:val="single" w:sz="4" w:space="0" w:color="365F91"/>
              <w:left w:val="single" w:sz="4" w:space="0" w:color="365F91"/>
              <w:bottom w:val="single" w:sz="4" w:space="0" w:color="365F91"/>
              <w:right w:val="single" w:sz="4" w:space="0" w:color="365F91"/>
            </w:tcBorders>
            <w:vAlign w:val="center"/>
          </w:tcPr>
          <w:p w14:paraId="138134DC" w14:textId="330D3ADF" w:rsidR="00710D22" w:rsidRPr="00D01FA2" w:rsidRDefault="00DD333E" w:rsidP="00E96086">
            <w:pPr>
              <w:spacing w:beforeLines="60" w:before="144" w:afterLines="60" w:after="144" w:line="240" w:lineRule="auto"/>
              <w:rPr>
                <w:rFonts w:asciiTheme="minorBidi" w:hAnsiTheme="minorBidi"/>
                <w:bCs/>
                <w:sz w:val="20"/>
                <w:szCs w:val="20"/>
              </w:rPr>
            </w:pPr>
            <w:r>
              <w:rPr>
                <w:rFonts w:asciiTheme="minorBidi" w:hAnsiTheme="minorBidi"/>
                <w:bCs/>
                <w:sz w:val="20"/>
                <w:szCs w:val="20"/>
              </w:rPr>
              <w:t>/</w:t>
            </w:r>
          </w:p>
        </w:tc>
      </w:tr>
      <w:tr w:rsidR="000E5D23" w:rsidRPr="00D01FA2" w14:paraId="076B2118" w14:textId="77777777" w:rsidTr="000E5D23">
        <w:trPr>
          <w:trHeight w:val="777"/>
        </w:trPr>
        <w:tc>
          <w:tcPr>
            <w:tcW w:w="4004" w:type="dxa"/>
            <w:tcBorders>
              <w:top w:val="single" w:sz="4" w:space="0" w:color="365F91"/>
              <w:left w:val="single" w:sz="4" w:space="0" w:color="365F91"/>
              <w:bottom w:val="single" w:sz="4" w:space="0" w:color="365F91"/>
              <w:right w:val="single" w:sz="4" w:space="0" w:color="365F91"/>
            </w:tcBorders>
            <w:vAlign w:val="center"/>
          </w:tcPr>
          <w:p w14:paraId="4180B283" w14:textId="77777777" w:rsidR="000E5D23" w:rsidRPr="00D01FA2" w:rsidRDefault="000E5D23" w:rsidP="000E5D23">
            <w:pPr>
              <w:spacing w:beforeLines="60" w:before="144" w:afterLines="60" w:after="144" w:line="240" w:lineRule="auto"/>
              <w:rPr>
                <w:rFonts w:asciiTheme="minorBidi" w:hAnsiTheme="minorBidi"/>
                <w:b/>
                <w:bCs/>
                <w:sz w:val="20"/>
                <w:szCs w:val="20"/>
              </w:rPr>
            </w:pPr>
            <w:r w:rsidRPr="00D01FA2">
              <w:rPr>
                <w:rFonts w:asciiTheme="minorBidi" w:hAnsiTheme="minorBidi"/>
                <w:b/>
                <w:bCs/>
                <w:sz w:val="20"/>
                <w:szCs w:val="20"/>
              </w:rPr>
              <w:t>Troškovi provedenog savjetovanja</w:t>
            </w:r>
          </w:p>
        </w:tc>
        <w:tc>
          <w:tcPr>
            <w:tcW w:w="5056" w:type="dxa"/>
            <w:tcBorders>
              <w:top w:val="single" w:sz="4" w:space="0" w:color="365F91"/>
              <w:left w:val="single" w:sz="4" w:space="0" w:color="365F91"/>
              <w:bottom w:val="single" w:sz="4" w:space="0" w:color="365F91"/>
              <w:right w:val="single" w:sz="4" w:space="0" w:color="365F91"/>
            </w:tcBorders>
          </w:tcPr>
          <w:p w14:paraId="014D2402" w14:textId="376D5130" w:rsidR="000E5D23" w:rsidRPr="00D01FA2" w:rsidRDefault="000E5D23" w:rsidP="000E5D23">
            <w:pPr>
              <w:spacing w:beforeLines="60" w:before="144" w:afterLines="60" w:after="144" w:line="240" w:lineRule="auto"/>
              <w:jc w:val="both"/>
              <w:rPr>
                <w:rFonts w:asciiTheme="minorBidi" w:hAnsiTheme="minorBidi"/>
                <w:bCs/>
                <w:sz w:val="20"/>
                <w:szCs w:val="20"/>
              </w:rPr>
            </w:pPr>
            <w:r w:rsidRPr="00D01FA2">
              <w:rPr>
                <w:rFonts w:asciiTheme="minorBidi" w:hAnsiTheme="minorBidi"/>
                <w:bCs/>
                <w:sz w:val="20"/>
                <w:szCs w:val="20"/>
              </w:rPr>
              <w:t>Savjetovanje nije iziskivalo dodatne troškove.</w:t>
            </w:r>
          </w:p>
        </w:tc>
      </w:tr>
    </w:tbl>
    <w:p w14:paraId="5F0B94D3" w14:textId="77777777" w:rsidR="009108CA" w:rsidRPr="00F006DF" w:rsidRDefault="009108CA">
      <w:pPr>
        <w:rPr>
          <w:rFonts w:asciiTheme="minorBidi" w:eastAsia="Calibri" w:hAnsiTheme="minorBidi"/>
          <w:b/>
          <w:bCs/>
          <w:sz w:val="20"/>
          <w:szCs w:val="20"/>
          <w:lang w:eastAsia="en-US"/>
        </w:rPr>
      </w:pPr>
      <w:bookmarkStart w:id="0" w:name="_Toc468978618"/>
    </w:p>
    <w:p w14:paraId="620EE27F" w14:textId="7FCFB97B" w:rsidR="00E96086" w:rsidRPr="00F006DF" w:rsidRDefault="00E96086">
      <w:pPr>
        <w:rPr>
          <w:rFonts w:asciiTheme="minorBidi" w:eastAsia="Calibri" w:hAnsiTheme="minorBidi"/>
          <w:b/>
          <w:bCs/>
          <w:sz w:val="20"/>
          <w:szCs w:val="20"/>
          <w:lang w:eastAsia="en-US"/>
        </w:rPr>
      </w:pPr>
      <w:r w:rsidRPr="00F006DF">
        <w:rPr>
          <w:rFonts w:asciiTheme="minorBidi" w:eastAsia="Calibri" w:hAnsiTheme="minorBidi"/>
          <w:b/>
          <w:bCs/>
          <w:sz w:val="20"/>
          <w:szCs w:val="20"/>
          <w:lang w:eastAsia="en-US"/>
        </w:rPr>
        <w:br w:type="page"/>
      </w:r>
    </w:p>
    <w:p w14:paraId="64ECFE65" w14:textId="77777777" w:rsidR="00E738EC" w:rsidRPr="00D01FA2" w:rsidRDefault="00E738EC" w:rsidP="00E738EC">
      <w:pPr>
        <w:rPr>
          <w:rFonts w:asciiTheme="minorBidi" w:eastAsia="Calibri" w:hAnsiTheme="minorBidi"/>
          <w:b/>
          <w:bCs/>
          <w:sz w:val="20"/>
          <w:szCs w:val="20"/>
          <w:lang w:eastAsia="en-US"/>
        </w:rPr>
      </w:pPr>
      <w:r w:rsidRPr="00D01FA2">
        <w:rPr>
          <w:rFonts w:asciiTheme="minorBidi" w:eastAsia="Calibri" w:hAnsiTheme="minorBidi"/>
          <w:b/>
          <w:bCs/>
          <w:sz w:val="20"/>
          <w:szCs w:val="20"/>
          <w:lang w:eastAsia="en-US"/>
        </w:rPr>
        <w:lastRenderedPageBreak/>
        <w:t>Prilog 1. Pregled prihvaćenih i neprihvaćenih primjedbi</w:t>
      </w:r>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887"/>
        <w:gridCol w:w="1984"/>
        <w:gridCol w:w="2046"/>
        <w:gridCol w:w="2632"/>
      </w:tblGrid>
      <w:tr w:rsidR="00FB252D" w:rsidRPr="00D01FA2" w14:paraId="6B8D8A60" w14:textId="77777777" w:rsidTr="00E96086">
        <w:tc>
          <w:tcPr>
            <w:tcW w:w="773" w:type="dxa"/>
            <w:shd w:val="clear" w:color="auto" w:fill="F2F2F2" w:themeFill="background1" w:themeFillShade="F2"/>
            <w:vAlign w:val="center"/>
          </w:tcPr>
          <w:p w14:paraId="72E85FA3" w14:textId="77777777" w:rsidR="00E738EC" w:rsidRPr="00D01FA2" w:rsidRDefault="00E738EC" w:rsidP="00E738EC">
            <w:pPr>
              <w:spacing w:after="120" w:line="240" w:lineRule="auto"/>
              <w:jc w:val="center"/>
              <w:rPr>
                <w:rFonts w:asciiTheme="minorBidi" w:hAnsiTheme="minorBidi"/>
                <w:b/>
                <w:sz w:val="20"/>
                <w:szCs w:val="20"/>
              </w:rPr>
            </w:pPr>
            <w:r w:rsidRPr="00D01FA2">
              <w:rPr>
                <w:rFonts w:asciiTheme="minorBidi" w:hAnsiTheme="minorBidi"/>
                <w:b/>
                <w:sz w:val="20"/>
                <w:szCs w:val="20"/>
              </w:rPr>
              <w:t>Redni broj</w:t>
            </w:r>
          </w:p>
        </w:tc>
        <w:tc>
          <w:tcPr>
            <w:tcW w:w="1887" w:type="dxa"/>
            <w:shd w:val="clear" w:color="auto" w:fill="F2F2F2" w:themeFill="background1" w:themeFillShade="F2"/>
            <w:vAlign w:val="center"/>
          </w:tcPr>
          <w:p w14:paraId="57A9EACC" w14:textId="77777777" w:rsidR="00E738EC" w:rsidRPr="00D01FA2" w:rsidRDefault="00E738EC" w:rsidP="00E738EC">
            <w:pPr>
              <w:spacing w:after="120" w:line="240" w:lineRule="auto"/>
              <w:jc w:val="center"/>
              <w:rPr>
                <w:rFonts w:asciiTheme="minorBidi" w:hAnsiTheme="minorBidi"/>
                <w:b/>
                <w:sz w:val="20"/>
                <w:szCs w:val="20"/>
              </w:rPr>
            </w:pPr>
            <w:r w:rsidRPr="00D01FA2">
              <w:rPr>
                <w:rFonts w:asciiTheme="minorBidi" w:hAnsiTheme="minorBidi"/>
                <w:b/>
                <w:sz w:val="20"/>
                <w:szCs w:val="20"/>
              </w:rPr>
              <w:t>Sudionik savjetovanja (ime i prezime pojedinca, naziv organizacije)</w:t>
            </w:r>
          </w:p>
        </w:tc>
        <w:tc>
          <w:tcPr>
            <w:tcW w:w="1984" w:type="dxa"/>
            <w:shd w:val="clear" w:color="auto" w:fill="F2F2F2" w:themeFill="background1" w:themeFillShade="F2"/>
            <w:vAlign w:val="center"/>
          </w:tcPr>
          <w:p w14:paraId="2CA1743E" w14:textId="77777777" w:rsidR="00E738EC" w:rsidRPr="00D01FA2" w:rsidRDefault="00E738EC" w:rsidP="00E738EC">
            <w:pPr>
              <w:spacing w:after="120" w:line="240" w:lineRule="auto"/>
              <w:jc w:val="center"/>
              <w:rPr>
                <w:rFonts w:asciiTheme="minorBidi" w:hAnsiTheme="minorBidi"/>
                <w:b/>
                <w:sz w:val="20"/>
                <w:szCs w:val="20"/>
              </w:rPr>
            </w:pPr>
            <w:r w:rsidRPr="00D01FA2">
              <w:rPr>
                <w:rFonts w:asciiTheme="minorBidi" w:hAnsiTheme="minorBidi"/>
                <w:b/>
                <w:sz w:val="20"/>
                <w:szCs w:val="20"/>
              </w:rPr>
              <w:t>Članak ili drugi dio nacrta na koji se odnosi prijedlog ili mišljenje</w:t>
            </w:r>
          </w:p>
        </w:tc>
        <w:tc>
          <w:tcPr>
            <w:tcW w:w="2046" w:type="dxa"/>
            <w:shd w:val="clear" w:color="auto" w:fill="F2F2F2" w:themeFill="background1" w:themeFillShade="F2"/>
            <w:vAlign w:val="center"/>
          </w:tcPr>
          <w:p w14:paraId="48F54A16" w14:textId="77777777" w:rsidR="00E738EC" w:rsidRPr="00D01FA2" w:rsidRDefault="00E738EC" w:rsidP="00E738EC">
            <w:pPr>
              <w:spacing w:after="120" w:line="240" w:lineRule="auto"/>
              <w:jc w:val="center"/>
              <w:rPr>
                <w:rFonts w:asciiTheme="minorBidi" w:hAnsiTheme="minorBidi"/>
                <w:b/>
                <w:sz w:val="20"/>
                <w:szCs w:val="20"/>
              </w:rPr>
            </w:pPr>
            <w:r w:rsidRPr="00D01FA2">
              <w:rPr>
                <w:rFonts w:asciiTheme="minorBidi" w:hAnsiTheme="minorBidi"/>
                <w:b/>
                <w:sz w:val="20"/>
                <w:szCs w:val="20"/>
              </w:rPr>
              <w:t>Tekst zaprimljenog prijedloga ili mišljenja</w:t>
            </w:r>
          </w:p>
        </w:tc>
        <w:tc>
          <w:tcPr>
            <w:tcW w:w="2632" w:type="dxa"/>
            <w:shd w:val="clear" w:color="auto" w:fill="F2F2F2" w:themeFill="background1" w:themeFillShade="F2"/>
            <w:vAlign w:val="center"/>
          </w:tcPr>
          <w:p w14:paraId="0528067D" w14:textId="77777777" w:rsidR="00E738EC" w:rsidRPr="00D01FA2" w:rsidRDefault="00E738EC" w:rsidP="001907B5">
            <w:pPr>
              <w:spacing w:after="120" w:line="240" w:lineRule="auto"/>
              <w:jc w:val="center"/>
              <w:rPr>
                <w:rFonts w:asciiTheme="minorBidi" w:hAnsiTheme="minorBidi"/>
                <w:b/>
                <w:sz w:val="20"/>
                <w:szCs w:val="20"/>
              </w:rPr>
            </w:pPr>
            <w:r w:rsidRPr="00D01FA2">
              <w:rPr>
                <w:rFonts w:asciiTheme="minorBidi" w:hAnsiTheme="minorBidi"/>
                <w:b/>
                <w:sz w:val="20"/>
                <w:szCs w:val="20"/>
              </w:rPr>
              <w:t xml:space="preserve">Status prijedloga ili mišljenja (prihvaćanje/neprihvaćanje s  obrazloženjem) </w:t>
            </w:r>
          </w:p>
        </w:tc>
      </w:tr>
      <w:tr w:rsidR="00E738EC" w:rsidRPr="00D01FA2" w14:paraId="44370F6A" w14:textId="77777777" w:rsidTr="00E96086">
        <w:trPr>
          <w:trHeight w:val="567"/>
        </w:trPr>
        <w:tc>
          <w:tcPr>
            <w:tcW w:w="773" w:type="dxa"/>
          </w:tcPr>
          <w:p w14:paraId="30028215" w14:textId="50181A62" w:rsidR="00E738EC" w:rsidRPr="00D01FA2" w:rsidRDefault="00B42192" w:rsidP="00E738EC">
            <w:pPr>
              <w:spacing w:after="120" w:line="240" w:lineRule="auto"/>
              <w:jc w:val="both"/>
              <w:rPr>
                <w:rFonts w:asciiTheme="minorBidi" w:hAnsiTheme="minorBidi"/>
                <w:sz w:val="20"/>
                <w:szCs w:val="20"/>
              </w:rPr>
            </w:pPr>
            <w:r w:rsidRPr="00D01FA2">
              <w:rPr>
                <w:rFonts w:asciiTheme="minorBidi" w:hAnsiTheme="minorBidi"/>
                <w:sz w:val="20"/>
                <w:szCs w:val="20"/>
              </w:rPr>
              <w:t>1.</w:t>
            </w:r>
          </w:p>
        </w:tc>
        <w:tc>
          <w:tcPr>
            <w:tcW w:w="1887" w:type="dxa"/>
          </w:tcPr>
          <w:p w14:paraId="7829064B" w14:textId="77777777" w:rsidR="00E738EC" w:rsidRPr="00D01FA2" w:rsidRDefault="003E5C11" w:rsidP="00E738EC">
            <w:pPr>
              <w:spacing w:after="120" w:line="240" w:lineRule="auto"/>
              <w:jc w:val="both"/>
              <w:rPr>
                <w:rFonts w:asciiTheme="minorBidi" w:hAnsiTheme="minorBidi"/>
                <w:sz w:val="20"/>
                <w:szCs w:val="20"/>
              </w:rPr>
            </w:pPr>
            <w:r w:rsidRPr="00D01FA2">
              <w:rPr>
                <w:rFonts w:asciiTheme="minorBidi" w:hAnsiTheme="minorBidi"/>
                <w:sz w:val="20"/>
                <w:szCs w:val="20"/>
              </w:rPr>
              <w:t>Za Možemo! Karlovac (</w:t>
            </w:r>
            <w:r w:rsidR="007F5831" w:rsidRPr="00D01FA2">
              <w:rPr>
                <w:rFonts w:asciiTheme="minorBidi" w:hAnsiTheme="minorBidi"/>
                <w:sz w:val="20"/>
                <w:szCs w:val="20"/>
              </w:rPr>
              <w:t>Vlasta Lendler Adamec)</w:t>
            </w:r>
          </w:p>
          <w:p w14:paraId="6B45272F" w14:textId="2308784D" w:rsidR="000D330D" w:rsidRPr="00D01FA2" w:rsidRDefault="000D330D" w:rsidP="00E738EC">
            <w:pPr>
              <w:spacing w:after="120" w:line="240" w:lineRule="auto"/>
              <w:jc w:val="both"/>
              <w:rPr>
                <w:rFonts w:asciiTheme="minorBidi" w:hAnsiTheme="minorBidi"/>
                <w:sz w:val="20"/>
                <w:szCs w:val="20"/>
              </w:rPr>
            </w:pPr>
            <w:r w:rsidRPr="00D01FA2">
              <w:rPr>
                <w:rFonts w:asciiTheme="minorBidi" w:hAnsiTheme="minorBidi"/>
                <w:sz w:val="20"/>
                <w:szCs w:val="20"/>
              </w:rPr>
              <w:t xml:space="preserve">Obrazac dostavljen putem e-maila </w:t>
            </w:r>
            <w:r w:rsidR="002D4BF7" w:rsidRPr="00D01FA2">
              <w:rPr>
                <w:rFonts w:asciiTheme="minorBidi" w:hAnsiTheme="minorBidi"/>
                <w:sz w:val="20"/>
                <w:szCs w:val="20"/>
              </w:rPr>
              <w:t>15.5.2026.</w:t>
            </w:r>
          </w:p>
        </w:tc>
        <w:tc>
          <w:tcPr>
            <w:tcW w:w="1984" w:type="dxa"/>
          </w:tcPr>
          <w:p w14:paraId="56FD21D2" w14:textId="7F4289F1" w:rsidR="00E738EC" w:rsidRPr="00D01FA2" w:rsidRDefault="00462B95" w:rsidP="00E738EC">
            <w:pPr>
              <w:spacing w:after="120" w:line="240" w:lineRule="auto"/>
              <w:jc w:val="both"/>
              <w:rPr>
                <w:rFonts w:asciiTheme="minorBidi" w:hAnsiTheme="minorBidi"/>
                <w:sz w:val="20"/>
                <w:szCs w:val="20"/>
              </w:rPr>
            </w:pPr>
            <w:r w:rsidRPr="00D01FA2">
              <w:rPr>
                <w:rFonts w:asciiTheme="minorBidi" w:hAnsiTheme="minorBidi"/>
                <w:sz w:val="20"/>
                <w:szCs w:val="20"/>
              </w:rPr>
              <w:t>Načelne primjedbe i prijedlozi</w:t>
            </w:r>
          </w:p>
        </w:tc>
        <w:tc>
          <w:tcPr>
            <w:tcW w:w="2046" w:type="dxa"/>
          </w:tcPr>
          <w:p w14:paraId="480756EC" w14:textId="317DC993" w:rsidR="00E738EC" w:rsidRPr="00D01FA2" w:rsidRDefault="005D257D" w:rsidP="00E738EC">
            <w:pPr>
              <w:spacing w:after="120" w:line="240" w:lineRule="auto"/>
              <w:jc w:val="both"/>
              <w:rPr>
                <w:rFonts w:asciiTheme="minorBidi" w:hAnsiTheme="minorBidi"/>
                <w:sz w:val="20"/>
                <w:szCs w:val="20"/>
              </w:rPr>
            </w:pPr>
            <w:r w:rsidRPr="00D01FA2">
              <w:rPr>
                <w:rFonts w:asciiTheme="minorBidi" w:hAnsiTheme="minorBidi"/>
                <w:sz w:val="20"/>
                <w:szCs w:val="20"/>
              </w:rPr>
              <w:t>„Ponavljamo komentar koji se odnosi na sve izmjene i dopune bilo kojeg gradskog akta – u savjetovanju MORA BITI PROČIŠĆENI TEKST AKTA KOJI SE MIJENJA I DOPUNJUJE. Gotovo je nemoguće naći na stranicama grada predmetnu Odluku, pa još k tome pročišćeni tekst sa svim izmjenama do sada. Radi se o pristojnosti i uvažavanju mišljenja.“</w:t>
            </w:r>
          </w:p>
        </w:tc>
        <w:tc>
          <w:tcPr>
            <w:tcW w:w="2632" w:type="dxa"/>
          </w:tcPr>
          <w:p w14:paraId="23F8AFAF" w14:textId="516D56A1" w:rsidR="00312569" w:rsidRPr="00D01FA2" w:rsidRDefault="00312569" w:rsidP="0017034B">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NE PRIHVAĆA SE</w:t>
            </w:r>
          </w:p>
          <w:p w14:paraId="0FECEF1F" w14:textId="6F22C551" w:rsidR="0017034B" w:rsidRPr="00D01FA2" w:rsidRDefault="0017034B" w:rsidP="0017034B">
            <w:pPr>
              <w:widowControl w:val="0"/>
              <w:spacing w:line="240" w:lineRule="auto"/>
              <w:jc w:val="both"/>
              <w:rPr>
                <w:rFonts w:asciiTheme="minorBidi" w:eastAsia="Calibri" w:hAnsiTheme="minorBidi"/>
                <w:bCs/>
                <w:kern w:val="2"/>
                <w:sz w:val="20"/>
                <w:szCs w:val="20"/>
                <w:lang w:eastAsia="en-US"/>
                <w14:ligatures w14:val="standardContextual"/>
              </w:rPr>
            </w:pPr>
            <w:r w:rsidRPr="00D01FA2">
              <w:rPr>
                <w:rFonts w:asciiTheme="minorBidi" w:eastAsia="Calibri" w:hAnsiTheme="minorBidi"/>
                <w:sz w:val="20"/>
                <w:szCs w:val="20"/>
                <w:lang w:eastAsia="en-US"/>
              </w:rPr>
              <w:t>Primjedba je primljena na znanje. U prvom članku Odluke o izmjenama i dopuni</w:t>
            </w:r>
            <w:r w:rsidRPr="00D01FA2">
              <w:rPr>
                <w:rFonts w:asciiTheme="minorBidi" w:eastAsia="Calibri" w:hAnsiTheme="minorBidi"/>
                <w:bCs/>
                <w:kern w:val="2"/>
                <w:sz w:val="20"/>
                <w:szCs w:val="20"/>
                <w:lang w:eastAsia="en-US"/>
                <w14:ligatures w14:val="standardContextual"/>
              </w:rPr>
              <w:t xml:space="preserve"> Odluke o načinu pružanja javne usluge sakupljanja komunalnog otpada na području Grada Karlovca naveden je „Glasnik Grada Karlovca“ u kojoj je objavljena Odluka koja se mijenja. Odluka se mijenja u ukupno šest članaka (od 27. članaka) i većina navedenih izmjena iskazana je brojčano, te su izmjene lako uočljive. </w:t>
            </w:r>
            <w:r w:rsidRPr="00D01FA2">
              <w:rPr>
                <w:rFonts w:asciiTheme="minorBidi" w:eastAsia="Calibri" w:hAnsiTheme="minorBidi"/>
                <w:sz w:val="20"/>
                <w:szCs w:val="20"/>
                <w:lang w:eastAsia="en-US"/>
              </w:rPr>
              <w:t xml:space="preserve">Pravnim pravilima, odnosno metodološko-nomotehničkim pravilima Hrvatskog sabora propisan je način izrade izmjena i dopuna akata te se prilikom izrade nacrta prijedloga predmetne Odluke pridržavalo istih. </w:t>
            </w:r>
          </w:p>
          <w:p w14:paraId="5C9E6935" w14:textId="77777777" w:rsidR="00E738EC" w:rsidRPr="00D01FA2" w:rsidRDefault="00E738EC" w:rsidP="00E738EC">
            <w:pPr>
              <w:spacing w:after="120" w:line="240" w:lineRule="auto"/>
              <w:jc w:val="both"/>
              <w:rPr>
                <w:rFonts w:asciiTheme="minorBidi" w:hAnsiTheme="minorBidi"/>
                <w:sz w:val="20"/>
                <w:szCs w:val="20"/>
              </w:rPr>
            </w:pPr>
          </w:p>
        </w:tc>
      </w:tr>
      <w:tr w:rsidR="00E738EC" w:rsidRPr="00D01FA2" w14:paraId="4CA09B06" w14:textId="77777777" w:rsidTr="00E96086">
        <w:trPr>
          <w:trHeight w:val="567"/>
        </w:trPr>
        <w:tc>
          <w:tcPr>
            <w:tcW w:w="773" w:type="dxa"/>
          </w:tcPr>
          <w:p w14:paraId="0F572456" w14:textId="1CEC62BC" w:rsidR="00E738EC" w:rsidRPr="00D01FA2" w:rsidRDefault="00B42192" w:rsidP="00E738EC">
            <w:pPr>
              <w:spacing w:after="120" w:line="240" w:lineRule="auto"/>
              <w:jc w:val="both"/>
              <w:rPr>
                <w:rFonts w:asciiTheme="minorBidi" w:hAnsiTheme="minorBidi"/>
                <w:sz w:val="20"/>
                <w:szCs w:val="20"/>
              </w:rPr>
            </w:pPr>
            <w:r w:rsidRPr="00D01FA2">
              <w:rPr>
                <w:rFonts w:asciiTheme="minorBidi" w:hAnsiTheme="minorBidi"/>
                <w:sz w:val="20"/>
                <w:szCs w:val="20"/>
              </w:rPr>
              <w:t>2.</w:t>
            </w:r>
          </w:p>
        </w:tc>
        <w:tc>
          <w:tcPr>
            <w:tcW w:w="1887" w:type="dxa"/>
          </w:tcPr>
          <w:p w14:paraId="1D19AE04" w14:textId="46B1CA3C" w:rsidR="00E738EC" w:rsidRPr="00D01FA2" w:rsidRDefault="00E738EC" w:rsidP="00E738EC">
            <w:pPr>
              <w:spacing w:after="120" w:line="240" w:lineRule="auto"/>
              <w:jc w:val="both"/>
              <w:rPr>
                <w:rFonts w:asciiTheme="minorBidi" w:hAnsiTheme="minorBidi"/>
                <w:strike/>
                <w:sz w:val="20"/>
                <w:szCs w:val="20"/>
              </w:rPr>
            </w:pPr>
          </w:p>
        </w:tc>
        <w:tc>
          <w:tcPr>
            <w:tcW w:w="1984" w:type="dxa"/>
          </w:tcPr>
          <w:p w14:paraId="7D35A0D2" w14:textId="1B731630" w:rsidR="00E738EC" w:rsidRPr="00D01FA2" w:rsidRDefault="00462B95" w:rsidP="00E738EC">
            <w:pPr>
              <w:spacing w:after="120" w:line="240" w:lineRule="auto"/>
              <w:jc w:val="both"/>
              <w:rPr>
                <w:rFonts w:asciiTheme="minorBidi" w:hAnsiTheme="minorBidi"/>
                <w:sz w:val="20"/>
                <w:szCs w:val="20"/>
              </w:rPr>
            </w:pPr>
            <w:r w:rsidRPr="00D01FA2">
              <w:rPr>
                <w:rFonts w:asciiTheme="minorBidi" w:hAnsiTheme="minorBidi"/>
                <w:sz w:val="20"/>
                <w:szCs w:val="20"/>
              </w:rPr>
              <w:t>Načelne primjedbe i prijedlozi</w:t>
            </w:r>
          </w:p>
        </w:tc>
        <w:tc>
          <w:tcPr>
            <w:tcW w:w="2046" w:type="dxa"/>
          </w:tcPr>
          <w:p w14:paraId="0D67A289" w14:textId="25F97E83" w:rsidR="00E738EC" w:rsidRPr="00D01FA2" w:rsidRDefault="00320657" w:rsidP="00E738EC">
            <w:pPr>
              <w:spacing w:after="120" w:line="240" w:lineRule="auto"/>
              <w:jc w:val="both"/>
              <w:rPr>
                <w:rFonts w:asciiTheme="minorBidi" w:hAnsiTheme="minorBidi"/>
                <w:sz w:val="20"/>
                <w:szCs w:val="20"/>
              </w:rPr>
            </w:pPr>
            <w:r w:rsidRPr="00D01FA2">
              <w:rPr>
                <w:rFonts w:asciiTheme="minorBidi" w:hAnsiTheme="minorBidi"/>
                <w:sz w:val="20"/>
                <w:szCs w:val="20"/>
              </w:rPr>
              <w:t>„</w:t>
            </w:r>
            <w:r w:rsidR="00AD0D3D" w:rsidRPr="00D01FA2">
              <w:rPr>
                <w:rFonts w:asciiTheme="minorBidi" w:hAnsiTheme="minorBidi"/>
                <w:sz w:val="20"/>
                <w:szCs w:val="20"/>
              </w:rPr>
              <w:t xml:space="preserve">Predviđeno povećanje cijena odvoza komunalnog otpada je ogromno! Cijenu odvoza predlažete povećati preko 79% - to je skandalozno! Smatramo da nije dovoljno napisati “U navedenom razdoblju značajno je porasla cijena energenata, materijalna prava radnika, uvedena je naknada za odlaganje otpada, povećani su troškovi obrade i zbrinjavanja reciklabilnog otpada i biootpada, a potrebna je nabava </w:t>
            </w:r>
            <w:r w:rsidR="00AD0D3D" w:rsidRPr="00D01FA2">
              <w:rPr>
                <w:rFonts w:asciiTheme="minorBidi" w:hAnsiTheme="minorBidi"/>
                <w:sz w:val="20"/>
                <w:szCs w:val="20"/>
              </w:rPr>
              <w:lastRenderedPageBreak/>
              <w:t>novih vozila, spremnika I opreme.” Na koji način se uopće došlo do predloženih cifri? Inzistiramo na jasnoj prezentaciji svih relevantnih brojčanih pokazatelja: - Potrebno je građanima predoči analizu dosadašnje cijene sa analizom dodatnih ili povećanih troškova opisanih u obrazloženju Odluke</w:t>
            </w:r>
            <w:r w:rsidRPr="00D01FA2">
              <w:rPr>
                <w:rFonts w:asciiTheme="minorBidi" w:hAnsiTheme="minorBidi"/>
                <w:sz w:val="20"/>
                <w:szCs w:val="20"/>
              </w:rPr>
              <w:t>“</w:t>
            </w:r>
          </w:p>
        </w:tc>
        <w:tc>
          <w:tcPr>
            <w:tcW w:w="2632" w:type="dxa"/>
          </w:tcPr>
          <w:p w14:paraId="327A7533" w14:textId="77777777" w:rsidR="00E738EC" w:rsidRPr="00D01FA2" w:rsidRDefault="007936B8" w:rsidP="00E738EC">
            <w:pPr>
              <w:spacing w:after="120" w:line="240" w:lineRule="auto"/>
              <w:jc w:val="both"/>
              <w:rPr>
                <w:rFonts w:asciiTheme="minorBidi" w:hAnsiTheme="minorBidi"/>
                <w:sz w:val="20"/>
                <w:szCs w:val="20"/>
              </w:rPr>
            </w:pPr>
            <w:r w:rsidRPr="00D01FA2">
              <w:rPr>
                <w:rFonts w:asciiTheme="minorBidi" w:hAnsiTheme="minorBidi"/>
                <w:sz w:val="20"/>
                <w:szCs w:val="20"/>
              </w:rPr>
              <w:lastRenderedPageBreak/>
              <w:t>NE PRIHVAĆA SE</w:t>
            </w:r>
          </w:p>
          <w:p w14:paraId="439A1E11" w14:textId="77777777" w:rsidR="007936B8" w:rsidRPr="00D01FA2" w:rsidRDefault="007936B8" w:rsidP="007936B8">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Tvrtka Čistoća dostavila je obrazloženje povećanja cijene minimalne javne usluge koje se nalazi u privitku ovog Izvješća.</w:t>
            </w:r>
          </w:p>
          <w:p w14:paraId="5BD31A30" w14:textId="7A4D0363" w:rsidR="007936B8" w:rsidRPr="00D01FA2" w:rsidRDefault="007936B8" w:rsidP="00E738EC">
            <w:pPr>
              <w:spacing w:after="120" w:line="240" w:lineRule="auto"/>
              <w:jc w:val="both"/>
              <w:rPr>
                <w:rFonts w:asciiTheme="minorBidi" w:hAnsiTheme="minorBidi"/>
                <w:sz w:val="20"/>
                <w:szCs w:val="20"/>
              </w:rPr>
            </w:pPr>
          </w:p>
        </w:tc>
      </w:tr>
      <w:tr w:rsidR="00E738EC" w:rsidRPr="00D01FA2" w14:paraId="1659F194" w14:textId="77777777" w:rsidTr="00E96086">
        <w:trPr>
          <w:trHeight w:val="567"/>
        </w:trPr>
        <w:tc>
          <w:tcPr>
            <w:tcW w:w="773" w:type="dxa"/>
          </w:tcPr>
          <w:p w14:paraId="48680B1F" w14:textId="668B5F00" w:rsidR="00E738EC" w:rsidRPr="00D01FA2" w:rsidRDefault="00B42192" w:rsidP="00E738EC">
            <w:pPr>
              <w:spacing w:after="120" w:line="240" w:lineRule="auto"/>
              <w:jc w:val="both"/>
              <w:rPr>
                <w:rFonts w:asciiTheme="minorBidi" w:hAnsiTheme="minorBidi"/>
                <w:sz w:val="20"/>
                <w:szCs w:val="20"/>
              </w:rPr>
            </w:pPr>
            <w:r w:rsidRPr="00D01FA2">
              <w:rPr>
                <w:rFonts w:asciiTheme="minorBidi" w:hAnsiTheme="minorBidi"/>
                <w:sz w:val="20"/>
                <w:szCs w:val="20"/>
              </w:rPr>
              <w:t>3.</w:t>
            </w:r>
          </w:p>
        </w:tc>
        <w:tc>
          <w:tcPr>
            <w:tcW w:w="1887" w:type="dxa"/>
          </w:tcPr>
          <w:p w14:paraId="5A7F8B36" w14:textId="2E831E1E" w:rsidR="00E738EC" w:rsidRPr="00D01FA2" w:rsidRDefault="00E738EC" w:rsidP="00E738EC">
            <w:pPr>
              <w:spacing w:after="120" w:line="240" w:lineRule="auto"/>
              <w:jc w:val="both"/>
              <w:rPr>
                <w:rFonts w:asciiTheme="minorBidi" w:hAnsiTheme="minorBidi"/>
                <w:strike/>
                <w:sz w:val="20"/>
                <w:szCs w:val="20"/>
              </w:rPr>
            </w:pPr>
          </w:p>
        </w:tc>
        <w:tc>
          <w:tcPr>
            <w:tcW w:w="1984" w:type="dxa"/>
          </w:tcPr>
          <w:p w14:paraId="6A0C867C" w14:textId="3DC7D7A0" w:rsidR="00E738EC" w:rsidRPr="00D01FA2" w:rsidRDefault="00462B95" w:rsidP="00E738EC">
            <w:pPr>
              <w:spacing w:after="120" w:line="240" w:lineRule="auto"/>
              <w:jc w:val="both"/>
              <w:rPr>
                <w:rFonts w:asciiTheme="minorBidi" w:hAnsiTheme="minorBidi"/>
                <w:sz w:val="20"/>
                <w:szCs w:val="20"/>
              </w:rPr>
            </w:pPr>
            <w:r w:rsidRPr="00D01FA2">
              <w:rPr>
                <w:rFonts w:asciiTheme="minorBidi" w:hAnsiTheme="minorBidi"/>
                <w:sz w:val="20"/>
                <w:szCs w:val="20"/>
              </w:rPr>
              <w:t>Načelne primjedbe i prijedlozi</w:t>
            </w:r>
          </w:p>
        </w:tc>
        <w:tc>
          <w:tcPr>
            <w:tcW w:w="2046" w:type="dxa"/>
          </w:tcPr>
          <w:p w14:paraId="7D902427" w14:textId="0B9942DF" w:rsidR="00E738EC" w:rsidRPr="00D01FA2" w:rsidRDefault="00320657" w:rsidP="00E738EC">
            <w:pPr>
              <w:spacing w:after="120" w:line="240" w:lineRule="auto"/>
              <w:jc w:val="both"/>
              <w:rPr>
                <w:rFonts w:asciiTheme="minorBidi" w:hAnsiTheme="minorBidi"/>
                <w:sz w:val="20"/>
                <w:szCs w:val="20"/>
              </w:rPr>
            </w:pPr>
            <w:r w:rsidRPr="00D01FA2">
              <w:rPr>
                <w:rFonts w:asciiTheme="minorBidi" w:hAnsiTheme="minorBidi"/>
                <w:sz w:val="20"/>
                <w:szCs w:val="20"/>
              </w:rPr>
              <w:t>„</w:t>
            </w:r>
            <w:r w:rsidR="00F97D33" w:rsidRPr="00D01FA2">
              <w:rPr>
                <w:rFonts w:asciiTheme="minorBidi" w:hAnsiTheme="minorBidi"/>
                <w:sz w:val="20"/>
                <w:szCs w:val="20"/>
              </w:rPr>
              <w:t xml:space="preserve">Za razliku od povećanja cijena odvoza, cijene kazni uopće se ne povećavaju, čak se jedna kazna i nešto malo smanjuje. Molimo pojašnjenje razloga te odluke: - Znači li to da je naplaćivanje kazni minorno i da uopće ne pridonosi prihodima društva, pa kao takvo nije </w:t>
            </w:r>
            <w:r w:rsidRPr="00D01FA2">
              <w:rPr>
                <w:rFonts w:asciiTheme="minorBidi" w:hAnsiTheme="minorBidi"/>
                <w:sz w:val="20"/>
                <w:szCs w:val="20"/>
              </w:rPr>
              <w:t>interesantno da se poveća?“</w:t>
            </w:r>
          </w:p>
        </w:tc>
        <w:tc>
          <w:tcPr>
            <w:tcW w:w="2632" w:type="dxa"/>
          </w:tcPr>
          <w:p w14:paraId="11E366C8" w14:textId="4C5CE69D" w:rsidR="00341813" w:rsidRPr="00D01FA2" w:rsidRDefault="00341813" w:rsidP="00F935E3">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NE PRIHVAĆA SE</w:t>
            </w:r>
          </w:p>
          <w:p w14:paraId="6A91D053" w14:textId="4EAE5AEF" w:rsidR="00F935E3" w:rsidRPr="00D01FA2" w:rsidRDefault="00F935E3" w:rsidP="00F935E3">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Povećanje iznosa ugovornih kazni za sada se ne prihvaća jer je primijećeno postepeno povećavanje količina odvojeno prikupljenog otpada te se građane nastoji dodatnom edukacijom, a ne kaznama,  potaknuti na odvajanje otpada.</w:t>
            </w:r>
          </w:p>
          <w:p w14:paraId="1DC7D598" w14:textId="77777777" w:rsidR="00E738EC" w:rsidRPr="00D01FA2" w:rsidRDefault="00E738EC" w:rsidP="00E738EC">
            <w:pPr>
              <w:spacing w:after="120" w:line="240" w:lineRule="auto"/>
              <w:jc w:val="both"/>
              <w:rPr>
                <w:rFonts w:asciiTheme="minorBidi" w:hAnsiTheme="minorBidi"/>
                <w:sz w:val="20"/>
                <w:szCs w:val="20"/>
              </w:rPr>
            </w:pPr>
          </w:p>
        </w:tc>
      </w:tr>
      <w:tr w:rsidR="00E738EC" w:rsidRPr="00D01FA2" w14:paraId="3C3F49BB" w14:textId="77777777" w:rsidTr="00E96086">
        <w:trPr>
          <w:trHeight w:val="567"/>
        </w:trPr>
        <w:tc>
          <w:tcPr>
            <w:tcW w:w="773" w:type="dxa"/>
          </w:tcPr>
          <w:p w14:paraId="13956793" w14:textId="21594D60" w:rsidR="00E738EC" w:rsidRPr="00D01FA2" w:rsidRDefault="00B42192" w:rsidP="00E738EC">
            <w:pPr>
              <w:spacing w:after="120" w:line="240" w:lineRule="auto"/>
              <w:jc w:val="both"/>
              <w:rPr>
                <w:rFonts w:asciiTheme="minorBidi" w:hAnsiTheme="minorBidi"/>
                <w:sz w:val="20"/>
                <w:szCs w:val="20"/>
              </w:rPr>
            </w:pPr>
            <w:r w:rsidRPr="00D01FA2">
              <w:rPr>
                <w:rFonts w:asciiTheme="minorBidi" w:hAnsiTheme="minorBidi"/>
                <w:sz w:val="20"/>
                <w:szCs w:val="20"/>
              </w:rPr>
              <w:t>4.</w:t>
            </w:r>
          </w:p>
        </w:tc>
        <w:tc>
          <w:tcPr>
            <w:tcW w:w="1887" w:type="dxa"/>
          </w:tcPr>
          <w:p w14:paraId="65B33DB4" w14:textId="77A6F0D5" w:rsidR="00E738EC" w:rsidRPr="00D01FA2" w:rsidRDefault="00E738EC" w:rsidP="00E738EC">
            <w:pPr>
              <w:spacing w:after="120" w:line="240" w:lineRule="auto"/>
              <w:jc w:val="both"/>
              <w:rPr>
                <w:rFonts w:asciiTheme="minorBidi" w:hAnsiTheme="minorBidi"/>
                <w:strike/>
                <w:sz w:val="20"/>
                <w:szCs w:val="20"/>
              </w:rPr>
            </w:pPr>
          </w:p>
        </w:tc>
        <w:tc>
          <w:tcPr>
            <w:tcW w:w="1984" w:type="dxa"/>
          </w:tcPr>
          <w:p w14:paraId="28531149" w14:textId="36A7DEB5" w:rsidR="00E738EC" w:rsidRPr="00D01FA2" w:rsidRDefault="00462B95" w:rsidP="00E738EC">
            <w:pPr>
              <w:spacing w:after="120" w:line="240" w:lineRule="auto"/>
              <w:jc w:val="both"/>
              <w:rPr>
                <w:rFonts w:asciiTheme="minorBidi" w:hAnsiTheme="minorBidi"/>
                <w:sz w:val="20"/>
                <w:szCs w:val="20"/>
              </w:rPr>
            </w:pPr>
            <w:r w:rsidRPr="00D01FA2">
              <w:rPr>
                <w:rFonts w:asciiTheme="minorBidi" w:hAnsiTheme="minorBidi"/>
                <w:sz w:val="20"/>
                <w:szCs w:val="20"/>
              </w:rPr>
              <w:t>Načelne primjedbe i prijedlozi</w:t>
            </w:r>
          </w:p>
        </w:tc>
        <w:tc>
          <w:tcPr>
            <w:tcW w:w="2046" w:type="dxa"/>
          </w:tcPr>
          <w:p w14:paraId="15CAF0C5" w14:textId="4D884CD2" w:rsidR="00E738EC" w:rsidRPr="00D01FA2" w:rsidRDefault="00320657" w:rsidP="00E738EC">
            <w:pPr>
              <w:spacing w:after="120" w:line="240" w:lineRule="auto"/>
              <w:jc w:val="both"/>
              <w:rPr>
                <w:rFonts w:asciiTheme="minorBidi" w:hAnsiTheme="minorBidi"/>
                <w:sz w:val="20"/>
                <w:szCs w:val="20"/>
              </w:rPr>
            </w:pPr>
            <w:r w:rsidRPr="00D01FA2">
              <w:rPr>
                <w:rFonts w:asciiTheme="minorBidi" w:hAnsiTheme="minorBidi"/>
                <w:sz w:val="20"/>
                <w:szCs w:val="20"/>
              </w:rPr>
              <w:t>„Predlažemo povećanje usluge odvoza i ugovornih kazni za maksimalno 20%, što se smatramo može opravdati inflacijom i povećanjem općih troškova.“</w:t>
            </w:r>
          </w:p>
        </w:tc>
        <w:tc>
          <w:tcPr>
            <w:tcW w:w="2632" w:type="dxa"/>
          </w:tcPr>
          <w:p w14:paraId="1E0DA55E" w14:textId="5C1F3C2B" w:rsidR="00341813" w:rsidRPr="00D01FA2" w:rsidRDefault="00341813" w:rsidP="00341813">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NE PRIHVAĆA SE</w:t>
            </w:r>
          </w:p>
          <w:p w14:paraId="179CBF81" w14:textId="7BDDC34D" w:rsidR="00341813" w:rsidRPr="002C6004" w:rsidRDefault="00341813" w:rsidP="00F42B52">
            <w:pPr>
              <w:widowControl w:val="0"/>
              <w:spacing w:line="240" w:lineRule="auto"/>
              <w:jc w:val="both"/>
              <w:rPr>
                <w:rFonts w:asciiTheme="minorBidi" w:eastAsia="Calibri" w:hAnsiTheme="minorBidi"/>
                <w:color w:val="EE0000"/>
                <w:sz w:val="20"/>
                <w:szCs w:val="20"/>
                <w:lang w:eastAsia="en-US"/>
              </w:rPr>
            </w:pPr>
            <w:r w:rsidRPr="00D01FA2">
              <w:rPr>
                <w:rFonts w:asciiTheme="minorBidi" w:eastAsia="Calibri" w:hAnsiTheme="minorBidi"/>
                <w:sz w:val="20"/>
                <w:szCs w:val="20"/>
                <w:lang w:eastAsia="en-US"/>
              </w:rPr>
              <w:t>Ne prihvaća se povećanje cijena odvoza otpada za 20% jer predloženim povećanjem nije moguće pokriti niti troškove nastale inflacijom u posljednje četiri godine</w:t>
            </w:r>
            <w:r w:rsidR="00F42B52">
              <w:rPr>
                <w:rFonts w:asciiTheme="minorBidi" w:eastAsia="Calibri" w:hAnsiTheme="minorBidi"/>
                <w:sz w:val="20"/>
                <w:szCs w:val="20"/>
                <w:lang w:eastAsia="en-US"/>
              </w:rPr>
              <w:t>.</w:t>
            </w:r>
          </w:p>
          <w:p w14:paraId="24C98DE2" w14:textId="376DFEFF" w:rsidR="00C849FD" w:rsidRPr="00BF0FC7" w:rsidRDefault="00C849FD" w:rsidP="00341813">
            <w:pPr>
              <w:widowControl w:val="0"/>
              <w:spacing w:line="240" w:lineRule="auto"/>
              <w:jc w:val="both"/>
              <w:rPr>
                <w:rFonts w:asciiTheme="minorBidi" w:eastAsia="Calibri" w:hAnsiTheme="minorBidi"/>
                <w:sz w:val="20"/>
                <w:szCs w:val="20"/>
                <w:lang w:eastAsia="en-US"/>
              </w:rPr>
            </w:pPr>
            <w:r w:rsidRPr="00BF0FC7">
              <w:rPr>
                <w:rFonts w:asciiTheme="minorBidi" w:eastAsia="Calibri" w:hAnsiTheme="minorBidi"/>
                <w:sz w:val="20"/>
                <w:szCs w:val="20"/>
                <w:lang w:eastAsia="en-US"/>
              </w:rPr>
              <w:t>U dijelu prijedloga za povećanjem ugovornih kazni od 20% obrazlo</w:t>
            </w:r>
            <w:r w:rsidR="009D4F1E" w:rsidRPr="00BF0FC7">
              <w:rPr>
                <w:rFonts w:asciiTheme="minorBidi" w:eastAsia="Calibri" w:hAnsiTheme="minorBidi"/>
                <w:sz w:val="20"/>
                <w:szCs w:val="20"/>
                <w:lang w:eastAsia="en-US"/>
              </w:rPr>
              <w:t>ženje dato pod točkom 3.</w:t>
            </w:r>
          </w:p>
          <w:p w14:paraId="2583617A" w14:textId="77777777" w:rsidR="00E738EC" w:rsidRPr="00D01FA2" w:rsidRDefault="00E738EC" w:rsidP="00E738EC">
            <w:pPr>
              <w:spacing w:after="120" w:line="240" w:lineRule="auto"/>
              <w:jc w:val="both"/>
              <w:rPr>
                <w:rFonts w:asciiTheme="minorBidi" w:hAnsiTheme="minorBidi"/>
                <w:sz w:val="20"/>
                <w:szCs w:val="20"/>
              </w:rPr>
            </w:pPr>
          </w:p>
        </w:tc>
      </w:tr>
      <w:tr w:rsidR="00DB3680" w:rsidRPr="00D01FA2" w14:paraId="2A0239B2" w14:textId="77777777" w:rsidTr="00E96086">
        <w:trPr>
          <w:trHeight w:val="567"/>
        </w:trPr>
        <w:tc>
          <w:tcPr>
            <w:tcW w:w="773" w:type="dxa"/>
          </w:tcPr>
          <w:p w14:paraId="13F73916" w14:textId="093460FC" w:rsidR="00DB3680" w:rsidRPr="00D01FA2" w:rsidRDefault="00B42192" w:rsidP="00E738EC">
            <w:pPr>
              <w:spacing w:after="120" w:line="240" w:lineRule="auto"/>
              <w:jc w:val="both"/>
              <w:rPr>
                <w:rFonts w:asciiTheme="minorBidi" w:hAnsiTheme="minorBidi"/>
                <w:sz w:val="20"/>
                <w:szCs w:val="20"/>
              </w:rPr>
            </w:pPr>
            <w:r w:rsidRPr="00D01FA2">
              <w:rPr>
                <w:rFonts w:asciiTheme="minorBidi" w:hAnsiTheme="minorBidi"/>
                <w:sz w:val="20"/>
                <w:szCs w:val="20"/>
              </w:rPr>
              <w:t>5.</w:t>
            </w:r>
          </w:p>
        </w:tc>
        <w:tc>
          <w:tcPr>
            <w:tcW w:w="1887" w:type="dxa"/>
          </w:tcPr>
          <w:p w14:paraId="0E55B106" w14:textId="6C5DFA24" w:rsidR="00DB3680" w:rsidRPr="00D01FA2" w:rsidRDefault="00DB3680" w:rsidP="00E738EC">
            <w:pPr>
              <w:spacing w:after="120" w:line="240" w:lineRule="auto"/>
              <w:jc w:val="both"/>
              <w:rPr>
                <w:rFonts w:asciiTheme="minorBidi" w:hAnsiTheme="minorBidi"/>
                <w:strike/>
                <w:sz w:val="20"/>
                <w:szCs w:val="20"/>
              </w:rPr>
            </w:pPr>
          </w:p>
        </w:tc>
        <w:tc>
          <w:tcPr>
            <w:tcW w:w="1984" w:type="dxa"/>
          </w:tcPr>
          <w:p w14:paraId="0874F738" w14:textId="1DCC18AE" w:rsidR="00DB3680" w:rsidRPr="00D01FA2" w:rsidRDefault="00726428" w:rsidP="00E738EC">
            <w:pPr>
              <w:spacing w:after="120" w:line="240" w:lineRule="auto"/>
              <w:jc w:val="both"/>
              <w:rPr>
                <w:rFonts w:asciiTheme="minorBidi" w:hAnsiTheme="minorBidi"/>
                <w:sz w:val="20"/>
                <w:szCs w:val="20"/>
              </w:rPr>
            </w:pPr>
            <w:r w:rsidRPr="00D01FA2">
              <w:rPr>
                <w:rFonts w:asciiTheme="minorBidi" w:hAnsiTheme="minorBidi"/>
                <w:sz w:val="20"/>
                <w:szCs w:val="20"/>
              </w:rPr>
              <w:t xml:space="preserve">Članak </w:t>
            </w:r>
            <w:r w:rsidR="00967B6B" w:rsidRPr="00D01FA2">
              <w:rPr>
                <w:rFonts w:asciiTheme="minorBidi" w:hAnsiTheme="minorBidi"/>
                <w:sz w:val="20"/>
                <w:szCs w:val="20"/>
              </w:rPr>
              <w:t>4</w:t>
            </w:r>
            <w:r w:rsidR="00695249">
              <w:rPr>
                <w:rFonts w:asciiTheme="minorBidi" w:hAnsiTheme="minorBidi"/>
                <w:sz w:val="20"/>
                <w:szCs w:val="20"/>
              </w:rPr>
              <w:t>.</w:t>
            </w:r>
          </w:p>
        </w:tc>
        <w:tc>
          <w:tcPr>
            <w:tcW w:w="2046" w:type="dxa"/>
          </w:tcPr>
          <w:p w14:paraId="6684BB2F" w14:textId="77777777" w:rsidR="007F02D2" w:rsidRPr="00D01FA2" w:rsidRDefault="007F02D2" w:rsidP="00E738EC">
            <w:pPr>
              <w:spacing w:after="120" w:line="240" w:lineRule="auto"/>
              <w:jc w:val="both"/>
              <w:rPr>
                <w:rFonts w:asciiTheme="minorBidi" w:hAnsiTheme="minorBidi"/>
                <w:sz w:val="20"/>
                <w:szCs w:val="20"/>
              </w:rPr>
            </w:pPr>
            <w:r w:rsidRPr="00D01FA2">
              <w:rPr>
                <w:rFonts w:asciiTheme="minorBidi" w:hAnsiTheme="minorBidi"/>
                <w:sz w:val="20"/>
                <w:szCs w:val="20"/>
              </w:rPr>
              <w:t xml:space="preserve">„Članak 4. </w:t>
            </w:r>
          </w:p>
          <w:p w14:paraId="0A3CD020" w14:textId="7F5BCB7C" w:rsidR="00DB3680" w:rsidRPr="00D01FA2" w:rsidRDefault="007F02D2" w:rsidP="00E738EC">
            <w:pPr>
              <w:spacing w:after="120" w:line="240" w:lineRule="auto"/>
              <w:jc w:val="both"/>
              <w:rPr>
                <w:rFonts w:asciiTheme="minorBidi" w:hAnsiTheme="minorBidi"/>
                <w:sz w:val="20"/>
                <w:szCs w:val="20"/>
              </w:rPr>
            </w:pPr>
            <w:r w:rsidRPr="00D01FA2">
              <w:rPr>
                <w:rFonts w:asciiTheme="minorBidi" w:hAnsiTheme="minorBidi"/>
                <w:sz w:val="20"/>
                <w:szCs w:val="20"/>
              </w:rPr>
              <w:t>U članku 16. stavku 2. riječi: „52,00 kuna“ zamjenjuju se riječima: „</w:t>
            </w:r>
            <w:r w:rsidRPr="003B25D0">
              <w:rPr>
                <w:rFonts w:asciiTheme="minorBidi" w:hAnsiTheme="minorBidi"/>
                <w:strike/>
                <w:sz w:val="20"/>
                <w:szCs w:val="20"/>
              </w:rPr>
              <w:t>12,37</w:t>
            </w:r>
            <w:r w:rsidRPr="00D01FA2">
              <w:rPr>
                <w:rFonts w:asciiTheme="minorBidi" w:hAnsiTheme="minorBidi"/>
                <w:sz w:val="20"/>
                <w:szCs w:val="20"/>
              </w:rPr>
              <w:t xml:space="preserve"> 8,28 eura“. U stavku 3. </w:t>
            </w:r>
            <w:r w:rsidRPr="00D01FA2">
              <w:rPr>
                <w:rFonts w:asciiTheme="minorBidi" w:hAnsiTheme="minorBidi"/>
                <w:sz w:val="20"/>
                <w:szCs w:val="20"/>
              </w:rPr>
              <w:lastRenderedPageBreak/>
              <w:t>riječi: „78,00 kuna“ zamjenjuju se</w:t>
            </w:r>
            <w:r w:rsidR="00CA71F1" w:rsidRPr="00D01FA2">
              <w:rPr>
                <w:rFonts w:asciiTheme="minorBidi" w:hAnsiTheme="minorBidi"/>
                <w:sz w:val="20"/>
                <w:szCs w:val="20"/>
              </w:rPr>
              <w:t xml:space="preserve"> riječima. </w:t>
            </w:r>
            <w:r w:rsidR="00CA71F1" w:rsidRPr="00D01FA2">
              <w:rPr>
                <w:rFonts w:asciiTheme="minorBidi" w:hAnsiTheme="minorBidi"/>
                <w:strike/>
                <w:sz w:val="20"/>
                <w:szCs w:val="20"/>
              </w:rPr>
              <w:t>„18,56</w:t>
            </w:r>
            <w:r w:rsidR="00CA71F1" w:rsidRPr="00D01FA2">
              <w:rPr>
                <w:rFonts w:asciiTheme="minorBidi" w:hAnsiTheme="minorBidi"/>
                <w:sz w:val="20"/>
                <w:szCs w:val="20"/>
              </w:rPr>
              <w:t xml:space="preserve"> 12,42 eura“</w:t>
            </w:r>
            <w:r w:rsidR="00967B6B" w:rsidRPr="00D01FA2">
              <w:rPr>
                <w:rFonts w:asciiTheme="minorBidi" w:hAnsiTheme="minorBidi"/>
                <w:sz w:val="20"/>
                <w:szCs w:val="20"/>
              </w:rPr>
              <w:t>.</w:t>
            </w:r>
          </w:p>
        </w:tc>
        <w:tc>
          <w:tcPr>
            <w:tcW w:w="2632" w:type="dxa"/>
          </w:tcPr>
          <w:p w14:paraId="190AE19A" w14:textId="644A6783" w:rsidR="008344C7" w:rsidRPr="00D01FA2" w:rsidRDefault="008344C7" w:rsidP="008344C7">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lastRenderedPageBreak/>
              <w:t>NE PRIHVAĆA SE</w:t>
            </w:r>
          </w:p>
          <w:p w14:paraId="45CC424E" w14:textId="5A200273" w:rsidR="008344C7" w:rsidRPr="00D01FA2" w:rsidRDefault="008344C7" w:rsidP="008344C7">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 xml:space="preserve">Povećanje cijene minimalne javne usluge za 20% nije dovoljno za ispunjenje zakonske obveze osiguranja </w:t>
            </w:r>
            <w:r w:rsidRPr="00D01FA2">
              <w:rPr>
                <w:rFonts w:asciiTheme="minorBidi" w:eastAsia="Calibri" w:hAnsiTheme="minorBidi"/>
                <w:sz w:val="20"/>
                <w:szCs w:val="20"/>
                <w:lang w:eastAsia="en-US"/>
              </w:rPr>
              <w:lastRenderedPageBreak/>
              <w:t>redovitosti i kvalitete pružanja javne usluge niti ekonomski održivog poslovanja.</w:t>
            </w:r>
          </w:p>
          <w:p w14:paraId="5A09189E" w14:textId="77777777" w:rsidR="00DB3680" w:rsidRPr="00D01FA2" w:rsidRDefault="00DB3680" w:rsidP="00E738EC">
            <w:pPr>
              <w:spacing w:after="120" w:line="240" w:lineRule="auto"/>
              <w:jc w:val="both"/>
              <w:rPr>
                <w:rFonts w:asciiTheme="minorBidi" w:hAnsiTheme="minorBidi"/>
                <w:sz w:val="20"/>
                <w:szCs w:val="20"/>
              </w:rPr>
            </w:pPr>
          </w:p>
        </w:tc>
      </w:tr>
      <w:tr w:rsidR="00DB3680" w:rsidRPr="00D01FA2" w14:paraId="255F756E" w14:textId="77777777" w:rsidTr="00E96086">
        <w:trPr>
          <w:trHeight w:val="567"/>
        </w:trPr>
        <w:tc>
          <w:tcPr>
            <w:tcW w:w="773" w:type="dxa"/>
          </w:tcPr>
          <w:p w14:paraId="58ADED6C" w14:textId="7D23A8D5" w:rsidR="00DB3680" w:rsidRPr="00D01FA2" w:rsidRDefault="00B42192" w:rsidP="00E738EC">
            <w:pPr>
              <w:spacing w:after="120" w:line="240" w:lineRule="auto"/>
              <w:jc w:val="both"/>
              <w:rPr>
                <w:rFonts w:asciiTheme="minorBidi" w:hAnsiTheme="minorBidi"/>
                <w:sz w:val="20"/>
                <w:szCs w:val="20"/>
              </w:rPr>
            </w:pPr>
            <w:r w:rsidRPr="00D01FA2">
              <w:rPr>
                <w:rFonts w:asciiTheme="minorBidi" w:hAnsiTheme="minorBidi"/>
                <w:sz w:val="20"/>
                <w:szCs w:val="20"/>
              </w:rPr>
              <w:lastRenderedPageBreak/>
              <w:t>6.</w:t>
            </w:r>
          </w:p>
        </w:tc>
        <w:tc>
          <w:tcPr>
            <w:tcW w:w="1887" w:type="dxa"/>
          </w:tcPr>
          <w:p w14:paraId="237A3E8C" w14:textId="2D65B9C5" w:rsidR="00DB3680" w:rsidRPr="00D01FA2" w:rsidRDefault="00DB3680" w:rsidP="00E738EC">
            <w:pPr>
              <w:spacing w:after="120" w:line="240" w:lineRule="auto"/>
              <w:jc w:val="both"/>
              <w:rPr>
                <w:rFonts w:asciiTheme="minorBidi" w:hAnsiTheme="minorBidi"/>
                <w:strike/>
                <w:sz w:val="20"/>
                <w:szCs w:val="20"/>
              </w:rPr>
            </w:pPr>
          </w:p>
        </w:tc>
        <w:tc>
          <w:tcPr>
            <w:tcW w:w="1984" w:type="dxa"/>
          </w:tcPr>
          <w:p w14:paraId="23BE536F" w14:textId="127BCE2A" w:rsidR="00DB3680" w:rsidRPr="00D01FA2" w:rsidRDefault="00726428" w:rsidP="00E738EC">
            <w:pPr>
              <w:spacing w:after="120" w:line="240" w:lineRule="auto"/>
              <w:jc w:val="both"/>
              <w:rPr>
                <w:rFonts w:asciiTheme="minorBidi" w:hAnsiTheme="minorBidi"/>
                <w:sz w:val="20"/>
                <w:szCs w:val="20"/>
              </w:rPr>
            </w:pPr>
            <w:r w:rsidRPr="00D01FA2">
              <w:rPr>
                <w:rFonts w:asciiTheme="minorBidi" w:hAnsiTheme="minorBidi"/>
                <w:sz w:val="20"/>
                <w:szCs w:val="20"/>
              </w:rPr>
              <w:t xml:space="preserve">Članak </w:t>
            </w:r>
            <w:r w:rsidR="00D3566B" w:rsidRPr="00D01FA2">
              <w:rPr>
                <w:rFonts w:asciiTheme="minorBidi" w:hAnsiTheme="minorBidi"/>
                <w:sz w:val="20"/>
                <w:szCs w:val="20"/>
              </w:rPr>
              <w:t>5</w:t>
            </w:r>
            <w:r w:rsidRPr="00D01FA2">
              <w:rPr>
                <w:rFonts w:asciiTheme="minorBidi" w:hAnsiTheme="minorBidi"/>
                <w:sz w:val="20"/>
                <w:szCs w:val="20"/>
              </w:rPr>
              <w:t>.</w:t>
            </w:r>
          </w:p>
        </w:tc>
        <w:tc>
          <w:tcPr>
            <w:tcW w:w="2046" w:type="dxa"/>
          </w:tcPr>
          <w:p w14:paraId="14132722" w14:textId="47FDC730" w:rsidR="00D3566B" w:rsidRPr="00D01FA2" w:rsidRDefault="00D3566B" w:rsidP="00E738EC">
            <w:pPr>
              <w:spacing w:after="120" w:line="240" w:lineRule="auto"/>
              <w:jc w:val="both"/>
              <w:rPr>
                <w:rFonts w:asciiTheme="minorBidi" w:hAnsiTheme="minorBidi"/>
                <w:sz w:val="20"/>
                <w:szCs w:val="20"/>
              </w:rPr>
            </w:pPr>
            <w:r w:rsidRPr="00D01FA2">
              <w:rPr>
                <w:rFonts w:asciiTheme="minorBidi" w:hAnsiTheme="minorBidi"/>
                <w:sz w:val="20"/>
                <w:szCs w:val="20"/>
              </w:rPr>
              <w:t>„Članak 5.</w:t>
            </w:r>
          </w:p>
          <w:p w14:paraId="5793833E" w14:textId="4547B322" w:rsidR="00DB3680" w:rsidRPr="00D01FA2" w:rsidRDefault="00D3566B" w:rsidP="00E738EC">
            <w:pPr>
              <w:spacing w:after="120" w:line="240" w:lineRule="auto"/>
              <w:jc w:val="both"/>
              <w:rPr>
                <w:rFonts w:asciiTheme="minorBidi" w:hAnsiTheme="minorBidi"/>
                <w:sz w:val="20"/>
                <w:szCs w:val="20"/>
              </w:rPr>
            </w:pPr>
            <w:r w:rsidRPr="00D01FA2">
              <w:rPr>
                <w:rFonts w:asciiTheme="minorBidi" w:hAnsiTheme="minorBidi"/>
                <w:sz w:val="20"/>
                <w:szCs w:val="20"/>
              </w:rPr>
              <w:t xml:space="preserve"> U članku 17. riječi: „5,00 </w:t>
            </w:r>
            <w:r w:rsidR="00C94A81">
              <w:rPr>
                <w:rFonts w:asciiTheme="minorBidi" w:hAnsiTheme="minorBidi"/>
                <w:sz w:val="20"/>
                <w:szCs w:val="20"/>
              </w:rPr>
              <w:t>k</w:t>
            </w:r>
            <w:r w:rsidRPr="00D01FA2">
              <w:rPr>
                <w:rFonts w:asciiTheme="minorBidi" w:hAnsiTheme="minorBidi"/>
                <w:sz w:val="20"/>
                <w:szCs w:val="20"/>
              </w:rPr>
              <w:t>una“ zamjenjuju se riječima: „</w:t>
            </w:r>
            <w:r w:rsidRPr="001560CC">
              <w:rPr>
                <w:rFonts w:asciiTheme="minorBidi" w:hAnsiTheme="minorBidi"/>
                <w:strike/>
                <w:sz w:val="20"/>
                <w:szCs w:val="20"/>
              </w:rPr>
              <w:t>1,00</w:t>
            </w:r>
            <w:r w:rsidRPr="00D01FA2">
              <w:rPr>
                <w:rFonts w:asciiTheme="minorBidi" w:hAnsiTheme="minorBidi"/>
                <w:sz w:val="20"/>
                <w:szCs w:val="20"/>
              </w:rPr>
              <w:t xml:space="preserve"> 0,80 euro“.</w:t>
            </w:r>
          </w:p>
        </w:tc>
        <w:tc>
          <w:tcPr>
            <w:tcW w:w="2632" w:type="dxa"/>
          </w:tcPr>
          <w:p w14:paraId="287648F7" w14:textId="5913F621" w:rsidR="00795A2D" w:rsidRPr="00D01FA2" w:rsidRDefault="00795A2D" w:rsidP="00795A2D">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NE PRIHVAĆA SE</w:t>
            </w:r>
          </w:p>
          <w:p w14:paraId="79D56891" w14:textId="2CED9067" w:rsidR="00795A2D" w:rsidRPr="00D01FA2" w:rsidRDefault="00795A2D" w:rsidP="00795A2D">
            <w:pPr>
              <w:widowControl w:val="0"/>
              <w:spacing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Smatramo da građane koji odvojeni otpad predaju na reciklažno dvorište treba nagraditi jer pozitivno utječu na sustav sakupljanja otpada. Dovoženjem otpada na reciklažno dvorište ne stvaraju se divlja odlagališta, povećava se količina odvojeno prikupljenog otpada, smanjuju se troškovi prijevoza pružatelja javne usluge.</w:t>
            </w:r>
          </w:p>
          <w:p w14:paraId="511ECB06" w14:textId="77777777" w:rsidR="00DB3680" w:rsidRPr="00D01FA2" w:rsidRDefault="00DB3680" w:rsidP="00E738EC">
            <w:pPr>
              <w:spacing w:after="120" w:line="240" w:lineRule="auto"/>
              <w:jc w:val="both"/>
              <w:rPr>
                <w:rFonts w:asciiTheme="minorBidi" w:hAnsiTheme="minorBidi"/>
                <w:sz w:val="20"/>
                <w:szCs w:val="20"/>
              </w:rPr>
            </w:pPr>
          </w:p>
        </w:tc>
      </w:tr>
      <w:tr w:rsidR="00DB3680" w:rsidRPr="00D01FA2" w14:paraId="6DCD045A" w14:textId="77777777" w:rsidTr="00E96086">
        <w:trPr>
          <w:trHeight w:val="567"/>
        </w:trPr>
        <w:tc>
          <w:tcPr>
            <w:tcW w:w="773" w:type="dxa"/>
          </w:tcPr>
          <w:p w14:paraId="58964BD5" w14:textId="12CD5C53" w:rsidR="00DB3680" w:rsidRPr="00D01FA2" w:rsidRDefault="00B42192" w:rsidP="00E738EC">
            <w:pPr>
              <w:spacing w:after="120" w:line="240" w:lineRule="auto"/>
              <w:jc w:val="both"/>
              <w:rPr>
                <w:rFonts w:asciiTheme="minorBidi" w:hAnsiTheme="minorBidi"/>
                <w:sz w:val="20"/>
                <w:szCs w:val="20"/>
              </w:rPr>
            </w:pPr>
            <w:r w:rsidRPr="00D01FA2">
              <w:rPr>
                <w:rFonts w:asciiTheme="minorBidi" w:hAnsiTheme="minorBidi"/>
                <w:sz w:val="20"/>
                <w:szCs w:val="20"/>
              </w:rPr>
              <w:t>7.</w:t>
            </w:r>
          </w:p>
        </w:tc>
        <w:tc>
          <w:tcPr>
            <w:tcW w:w="1887" w:type="dxa"/>
          </w:tcPr>
          <w:p w14:paraId="18E817B4" w14:textId="0EE8EB4C" w:rsidR="00DB3680" w:rsidRPr="00D01FA2" w:rsidRDefault="00DB3680" w:rsidP="00E738EC">
            <w:pPr>
              <w:spacing w:after="120" w:line="240" w:lineRule="auto"/>
              <w:jc w:val="both"/>
              <w:rPr>
                <w:rFonts w:asciiTheme="minorBidi" w:hAnsiTheme="minorBidi"/>
                <w:strike/>
                <w:sz w:val="20"/>
                <w:szCs w:val="20"/>
              </w:rPr>
            </w:pPr>
          </w:p>
        </w:tc>
        <w:tc>
          <w:tcPr>
            <w:tcW w:w="1984" w:type="dxa"/>
          </w:tcPr>
          <w:p w14:paraId="1AE20865" w14:textId="062E9AEF" w:rsidR="00DB3680" w:rsidRPr="00D01FA2" w:rsidRDefault="00726428" w:rsidP="00E738EC">
            <w:pPr>
              <w:spacing w:after="120" w:line="240" w:lineRule="auto"/>
              <w:jc w:val="both"/>
              <w:rPr>
                <w:rFonts w:asciiTheme="minorBidi" w:hAnsiTheme="minorBidi"/>
                <w:sz w:val="20"/>
                <w:szCs w:val="20"/>
              </w:rPr>
            </w:pPr>
            <w:r w:rsidRPr="00D01FA2">
              <w:rPr>
                <w:rFonts w:asciiTheme="minorBidi" w:hAnsiTheme="minorBidi"/>
                <w:sz w:val="20"/>
                <w:szCs w:val="20"/>
              </w:rPr>
              <w:t xml:space="preserve">Članak </w:t>
            </w:r>
            <w:r w:rsidR="00D3566B" w:rsidRPr="00D01FA2">
              <w:rPr>
                <w:rFonts w:asciiTheme="minorBidi" w:hAnsiTheme="minorBidi"/>
                <w:sz w:val="20"/>
                <w:szCs w:val="20"/>
              </w:rPr>
              <w:t>6.</w:t>
            </w:r>
          </w:p>
        </w:tc>
        <w:tc>
          <w:tcPr>
            <w:tcW w:w="2046" w:type="dxa"/>
          </w:tcPr>
          <w:p w14:paraId="6E36D435" w14:textId="77777777" w:rsidR="00C12807" w:rsidRPr="00D01FA2" w:rsidRDefault="00C12807" w:rsidP="00E738EC">
            <w:pPr>
              <w:spacing w:after="120" w:line="240" w:lineRule="auto"/>
              <w:jc w:val="both"/>
              <w:rPr>
                <w:rFonts w:asciiTheme="minorBidi" w:hAnsiTheme="minorBidi"/>
                <w:sz w:val="20"/>
                <w:szCs w:val="20"/>
              </w:rPr>
            </w:pPr>
            <w:r w:rsidRPr="00D01FA2">
              <w:rPr>
                <w:rFonts w:asciiTheme="minorBidi" w:hAnsiTheme="minorBidi"/>
                <w:sz w:val="20"/>
                <w:szCs w:val="20"/>
              </w:rPr>
              <w:t xml:space="preserve">Članak 6. </w:t>
            </w:r>
          </w:p>
          <w:p w14:paraId="6C68C06A" w14:textId="2079FBA9" w:rsidR="00DB3680" w:rsidRPr="00D01FA2" w:rsidRDefault="00C12807" w:rsidP="00E738EC">
            <w:pPr>
              <w:spacing w:after="120" w:line="240" w:lineRule="auto"/>
              <w:jc w:val="both"/>
              <w:rPr>
                <w:rFonts w:asciiTheme="minorBidi" w:hAnsiTheme="minorBidi"/>
                <w:sz w:val="20"/>
                <w:szCs w:val="20"/>
              </w:rPr>
            </w:pPr>
            <w:r w:rsidRPr="00D01FA2">
              <w:rPr>
                <w:rFonts w:asciiTheme="minorBidi" w:hAnsiTheme="minorBidi"/>
                <w:sz w:val="20"/>
                <w:szCs w:val="20"/>
              </w:rPr>
              <w:t>U članku 23. stavku 1. riječi: „600,00 kuna“ zamjenjuju se riječima: „</w:t>
            </w:r>
            <w:r w:rsidRPr="00D01FA2">
              <w:rPr>
                <w:rFonts w:asciiTheme="minorBidi" w:hAnsiTheme="minorBidi"/>
                <w:strike/>
                <w:sz w:val="20"/>
                <w:szCs w:val="20"/>
              </w:rPr>
              <w:t>80,00</w:t>
            </w:r>
            <w:r w:rsidRPr="00D01FA2">
              <w:rPr>
                <w:rFonts w:asciiTheme="minorBidi" w:hAnsiTheme="minorBidi"/>
                <w:sz w:val="20"/>
                <w:szCs w:val="20"/>
              </w:rPr>
              <w:t xml:space="preserve"> 95,56 eura“, riječi: „400,00 kuna“ zamjenjuju se riječima: „</w:t>
            </w:r>
            <w:r w:rsidRPr="00D01FA2">
              <w:rPr>
                <w:rFonts w:asciiTheme="minorBidi" w:hAnsiTheme="minorBidi"/>
                <w:strike/>
                <w:sz w:val="20"/>
                <w:szCs w:val="20"/>
              </w:rPr>
              <w:t>53,00</w:t>
            </w:r>
            <w:r w:rsidRPr="00D01FA2">
              <w:rPr>
                <w:rFonts w:asciiTheme="minorBidi" w:hAnsiTheme="minorBidi"/>
                <w:sz w:val="20"/>
                <w:szCs w:val="20"/>
              </w:rPr>
              <w:t xml:space="preserve"> 63,71 eura“ i riječi: „300,00 kuna“ zamjenjuju se riječima: „</w:t>
            </w:r>
            <w:r w:rsidRPr="00D01FA2">
              <w:rPr>
                <w:rFonts w:asciiTheme="minorBidi" w:hAnsiTheme="minorBidi"/>
                <w:strike/>
                <w:sz w:val="20"/>
                <w:szCs w:val="20"/>
              </w:rPr>
              <w:t>40,00</w:t>
            </w:r>
            <w:r w:rsidRPr="00D01FA2">
              <w:rPr>
                <w:rFonts w:asciiTheme="minorBidi" w:hAnsiTheme="minorBidi"/>
                <w:sz w:val="20"/>
                <w:szCs w:val="20"/>
              </w:rPr>
              <w:t xml:space="preserve"> 47,78 eura“. U stavku 2. riječi: „900,00 kuna“ zamjenjuju se riječima: </w:t>
            </w:r>
            <w:r w:rsidRPr="00D01FA2">
              <w:rPr>
                <w:rFonts w:asciiTheme="minorBidi" w:hAnsiTheme="minorBidi"/>
                <w:strike/>
                <w:sz w:val="20"/>
                <w:szCs w:val="20"/>
              </w:rPr>
              <w:t>„120,00</w:t>
            </w:r>
            <w:r w:rsidRPr="00D01FA2">
              <w:rPr>
                <w:rFonts w:asciiTheme="minorBidi" w:hAnsiTheme="minorBidi"/>
                <w:sz w:val="20"/>
                <w:szCs w:val="20"/>
              </w:rPr>
              <w:t xml:space="preserve"> 143,34 eura“ i riječi: „600,00 kuna“ zamjenjuju se riječima: „</w:t>
            </w:r>
            <w:r w:rsidRPr="00D01FA2">
              <w:rPr>
                <w:rFonts w:asciiTheme="minorBidi" w:hAnsiTheme="minorBidi"/>
                <w:strike/>
                <w:sz w:val="20"/>
                <w:szCs w:val="20"/>
              </w:rPr>
              <w:t>80,00</w:t>
            </w:r>
            <w:r w:rsidRPr="00D01FA2">
              <w:rPr>
                <w:rFonts w:asciiTheme="minorBidi" w:hAnsiTheme="minorBidi"/>
                <w:sz w:val="20"/>
                <w:szCs w:val="20"/>
              </w:rPr>
              <w:t xml:space="preserve"> 95,56</w:t>
            </w:r>
            <w:r w:rsidR="006F5E05" w:rsidRPr="00D01FA2">
              <w:rPr>
                <w:rFonts w:asciiTheme="minorBidi" w:hAnsiTheme="minorBidi"/>
                <w:sz w:val="20"/>
                <w:szCs w:val="20"/>
              </w:rPr>
              <w:t xml:space="preserve"> eura“.</w:t>
            </w:r>
          </w:p>
        </w:tc>
        <w:tc>
          <w:tcPr>
            <w:tcW w:w="2632" w:type="dxa"/>
          </w:tcPr>
          <w:p w14:paraId="03B46882" w14:textId="7D916F36" w:rsidR="00D90DEA" w:rsidRPr="00D01FA2" w:rsidRDefault="00D90DEA" w:rsidP="00E738EC">
            <w:pPr>
              <w:spacing w:after="120" w:line="240" w:lineRule="auto"/>
              <w:jc w:val="both"/>
              <w:rPr>
                <w:rFonts w:asciiTheme="minorBidi" w:eastAsia="Calibri" w:hAnsiTheme="minorBidi"/>
                <w:sz w:val="20"/>
                <w:szCs w:val="20"/>
                <w:lang w:eastAsia="en-US"/>
              </w:rPr>
            </w:pPr>
            <w:r w:rsidRPr="00D01FA2">
              <w:rPr>
                <w:rFonts w:asciiTheme="minorBidi" w:eastAsia="Calibri" w:hAnsiTheme="minorBidi"/>
                <w:sz w:val="20"/>
                <w:szCs w:val="20"/>
                <w:lang w:eastAsia="en-US"/>
              </w:rPr>
              <w:t>NE PRIHVAĆA SE</w:t>
            </w:r>
          </w:p>
          <w:p w14:paraId="09AA856B" w14:textId="6C0B2C6E" w:rsidR="00DB3680" w:rsidRPr="00D01FA2" w:rsidRDefault="00D90DEA" w:rsidP="00E738EC">
            <w:pPr>
              <w:spacing w:after="120" w:line="240" w:lineRule="auto"/>
              <w:jc w:val="both"/>
              <w:rPr>
                <w:rFonts w:asciiTheme="minorBidi" w:hAnsiTheme="minorBidi"/>
                <w:sz w:val="20"/>
                <w:szCs w:val="20"/>
              </w:rPr>
            </w:pPr>
            <w:r w:rsidRPr="00D01FA2">
              <w:rPr>
                <w:rFonts w:asciiTheme="minorBidi" w:eastAsia="Calibri" w:hAnsiTheme="minorBidi"/>
                <w:sz w:val="20"/>
                <w:szCs w:val="20"/>
                <w:lang w:eastAsia="en-US"/>
              </w:rPr>
              <w:t>Obrazloženje dato u točki 3.</w:t>
            </w:r>
          </w:p>
        </w:tc>
      </w:tr>
    </w:tbl>
    <w:p w14:paraId="6EA857A5" w14:textId="77777777" w:rsidR="00B82D76" w:rsidRDefault="00B82D76" w:rsidP="00B82D76">
      <w:pPr>
        <w:spacing w:after="160" w:line="259" w:lineRule="auto"/>
        <w:rPr>
          <w:rFonts w:asciiTheme="minorBidi" w:eastAsia="Calibri" w:hAnsiTheme="minorBidi"/>
          <w:kern w:val="2"/>
          <w:sz w:val="20"/>
          <w:szCs w:val="20"/>
          <w:lang w:eastAsia="en-US"/>
          <w14:ligatures w14:val="standardContextual"/>
        </w:rPr>
      </w:pPr>
    </w:p>
    <w:p w14:paraId="4E1C935C" w14:textId="2BEAED8F" w:rsidR="00B82D76" w:rsidRPr="00F006DF" w:rsidRDefault="00B82D76" w:rsidP="00B82D76">
      <w:pPr>
        <w:spacing w:after="160" w:line="259" w:lineRule="auto"/>
        <w:rPr>
          <w:rFonts w:asciiTheme="minorBidi" w:eastAsia="Calibri" w:hAnsiTheme="minorBidi"/>
          <w:kern w:val="2"/>
          <w:sz w:val="20"/>
          <w:szCs w:val="20"/>
          <w:lang w:eastAsia="en-US"/>
          <w14:ligatures w14:val="standardContextual"/>
        </w:rPr>
      </w:pPr>
      <w:r w:rsidRPr="00F006DF">
        <w:rPr>
          <w:rFonts w:asciiTheme="minorBidi" w:eastAsia="Calibri" w:hAnsiTheme="minorBidi"/>
          <w:kern w:val="2"/>
          <w:sz w:val="20"/>
          <w:szCs w:val="20"/>
          <w:lang w:eastAsia="en-US"/>
          <w14:ligatures w14:val="standardContextual"/>
        </w:rPr>
        <w:t xml:space="preserve">U prilogu: </w:t>
      </w:r>
    </w:p>
    <w:p w14:paraId="394E0A09" w14:textId="77777777" w:rsidR="00B82D76" w:rsidRPr="00F006DF" w:rsidRDefault="00B82D76" w:rsidP="00B82D76">
      <w:pPr>
        <w:spacing w:after="160" w:line="259" w:lineRule="auto"/>
        <w:rPr>
          <w:rFonts w:asciiTheme="minorBidi" w:eastAsia="Calibri" w:hAnsiTheme="minorBidi"/>
          <w:kern w:val="2"/>
          <w:sz w:val="20"/>
          <w:szCs w:val="20"/>
          <w:lang w:eastAsia="en-US"/>
          <w14:ligatures w14:val="standardContextual"/>
        </w:rPr>
      </w:pPr>
      <w:r w:rsidRPr="00F006DF">
        <w:rPr>
          <w:rFonts w:asciiTheme="minorBidi" w:eastAsia="Calibri" w:hAnsiTheme="minorBidi"/>
          <w:kern w:val="2"/>
          <w:sz w:val="20"/>
          <w:szCs w:val="20"/>
          <w:lang w:eastAsia="en-US"/>
          <w14:ligatures w14:val="standardContextual"/>
        </w:rPr>
        <w:t>Prijedlog Cjenika javne usluge sakupljanja komunalnog otpada davatelja javne usluge Čistoća d.o.o. Karlovac s obrazloženjem cijene javne usluge za Grad Karlovac</w:t>
      </w:r>
    </w:p>
    <w:p w14:paraId="62FC5E8D" w14:textId="77777777" w:rsidR="00FF0B57" w:rsidRPr="00D01FA2" w:rsidRDefault="00FF0B57">
      <w:pPr>
        <w:rPr>
          <w:rFonts w:asciiTheme="minorBidi" w:hAnsiTheme="minorBidi"/>
          <w:sz w:val="20"/>
          <w:szCs w:val="20"/>
        </w:rPr>
      </w:pPr>
    </w:p>
    <w:sectPr w:rsidR="00FF0B57" w:rsidRPr="00D01FA2" w:rsidSect="00A34133">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DC93" w14:textId="77777777" w:rsidR="004C1975" w:rsidRDefault="004C1975" w:rsidP="00E96086">
      <w:pPr>
        <w:spacing w:after="0" w:line="240" w:lineRule="auto"/>
      </w:pPr>
      <w:r>
        <w:separator/>
      </w:r>
    </w:p>
  </w:endnote>
  <w:endnote w:type="continuationSeparator" w:id="0">
    <w:p w14:paraId="36C1B66B" w14:textId="77777777" w:rsidR="004C1975" w:rsidRDefault="004C1975" w:rsidP="00E9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yriad Pro">
    <w:altName w:val="Malgun Gothic"/>
    <w:charset w:val="00"/>
    <w:family w:val="swiss"/>
    <w:pitch w:val="variable"/>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4573" w14:textId="77777777" w:rsidR="004C1975" w:rsidRDefault="004C1975" w:rsidP="00E96086">
      <w:pPr>
        <w:spacing w:after="0" w:line="240" w:lineRule="auto"/>
      </w:pPr>
      <w:r>
        <w:separator/>
      </w:r>
    </w:p>
  </w:footnote>
  <w:footnote w:type="continuationSeparator" w:id="0">
    <w:p w14:paraId="4C31DA1E" w14:textId="77777777" w:rsidR="004C1975" w:rsidRDefault="004C1975" w:rsidP="00E9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360C" w14:textId="77777777" w:rsidR="00345541" w:rsidRPr="00E96086" w:rsidRDefault="00345541" w:rsidP="00345541">
    <w:pPr>
      <w:pStyle w:val="Header"/>
      <w:jc w:val="cent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35901"/>
    <w:rsid w:val="00053D88"/>
    <w:rsid w:val="000A350D"/>
    <w:rsid w:val="000D330D"/>
    <w:rsid w:val="000D5239"/>
    <w:rsid w:val="000E5D23"/>
    <w:rsid w:val="00125BF3"/>
    <w:rsid w:val="00136C6E"/>
    <w:rsid w:val="001560CC"/>
    <w:rsid w:val="0017034B"/>
    <w:rsid w:val="001774DE"/>
    <w:rsid w:val="00182C44"/>
    <w:rsid w:val="001907B5"/>
    <w:rsid w:val="00195AC6"/>
    <w:rsid w:val="002528CE"/>
    <w:rsid w:val="002C171E"/>
    <w:rsid w:val="002C4292"/>
    <w:rsid w:val="002C6004"/>
    <w:rsid w:val="002D4BF7"/>
    <w:rsid w:val="00312569"/>
    <w:rsid w:val="00320657"/>
    <w:rsid w:val="00341813"/>
    <w:rsid w:val="00345541"/>
    <w:rsid w:val="00364E05"/>
    <w:rsid w:val="003B25D0"/>
    <w:rsid w:val="003D41E4"/>
    <w:rsid w:val="003D7D43"/>
    <w:rsid w:val="003E5C11"/>
    <w:rsid w:val="00413A17"/>
    <w:rsid w:val="00455C5C"/>
    <w:rsid w:val="00462B95"/>
    <w:rsid w:val="00487095"/>
    <w:rsid w:val="004A0752"/>
    <w:rsid w:val="004C1975"/>
    <w:rsid w:val="00504138"/>
    <w:rsid w:val="00546BC2"/>
    <w:rsid w:val="005B0986"/>
    <w:rsid w:val="005D257D"/>
    <w:rsid w:val="00600648"/>
    <w:rsid w:val="00643B1C"/>
    <w:rsid w:val="006503AC"/>
    <w:rsid w:val="00652B07"/>
    <w:rsid w:val="00682A28"/>
    <w:rsid w:val="006852F2"/>
    <w:rsid w:val="00687A47"/>
    <w:rsid w:val="00695249"/>
    <w:rsid w:val="006B4EB8"/>
    <w:rsid w:val="006F5E05"/>
    <w:rsid w:val="00710D22"/>
    <w:rsid w:val="00717985"/>
    <w:rsid w:val="00726428"/>
    <w:rsid w:val="00793434"/>
    <w:rsid w:val="007936B8"/>
    <w:rsid w:val="00795A2D"/>
    <w:rsid w:val="007F02D2"/>
    <w:rsid w:val="007F5831"/>
    <w:rsid w:val="007F662A"/>
    <w:rsid w:val="00811B9E"/>
    <w:rsid w:val="008344C7"/>
    <w:rsid w:val="00861A01"/>
    <w:rsid w:val="008D1610"/>
    <w:rsid w:val="00900659"/>
    <w:rsid w:val="009108CA"/>
    <w:rsid w:val="00967B6B"/>
    <w:rsid w:val="0098398F"/>
    <w:rsid w:val="009B5C3A"/>
    <w:rsid w:val="009D4F1E"/>
    <w:rsid w:val="009D624A"/>
    <w:rsid w:val="009E1BB4"/>
    <w:rsid w:val="00A0490C"/>
    <w:rsid w:val="00A34133"/>
    <w:rsid w:val="00AB2818"/>
    <w:rsid w:val="00AC203C"/>
    <w:rsid w:val="00AD0D3D"/>
    <w:rsid w:val="00AD3E98"/>
    <w:rsid w:val="00AF0530"/>
    <w:rsid w:val="00B04B39"/>
    <w:rsid w:val="00B23FA3"/>
    <w:rsid w:val="00B2787E"/>
    <w:rsid w:val="00B42192"/>
    <w:rsid w:val="00B648D9"/>
    <w:rsid w:val="00B82D76"/>
    <w:rsid w:val="00B85C09"/>
    <w:rsid w:val="00B8717C"/>
    <w:rsid w:val="00BF0FC7"/>
    <w:rsid w:val="00C12807"/>
    <w:rsid w:val="00C849FD"/>
    <w:rsid w:val="00C94A81"/>
    <w:rsid w:val="00CA71F1"/>
    <w:rsid w:val="00CD0766"/>
    <w:rsid w:val="00CE1AD1"/>
    <w:rsid w:val="00CE4ED8"/>
    <w:rsid w:val="00D0182D"/>
    <w:rsid w:val="00D01FA2"/>
    <w:rsid w:val="00D20305"/>
    <w:rsid w:val="00D2085E"/>
    <w:rsid w:val="00D3566B"/>
    <w:rsid w:val="00D427D8"/>
    <w:rsid w:val="00D620A9"/>
    <w:rsid w:val="00D64B41"/>
    <w:rsid w:val="00D73707"/>
    <w:rsid w:val="00D90DEA"/>
    <w:rsid w:val="00DB3680"/>
    <w:rsid w:val="00DD333E"/>
    <w:rsid w:val="00DE467D"/>
    <w:rsid w:val="00E43757"/>
    <w:rsid w:val="00E738EC"/>
    <w:rsid w:val="00E96086"/>
    <w:rsid w:val="00EC347B"/>
    <w:rsid w:val="00EF65B8"/>
    <w:rsid w:val="00F006DF"/>
    <w:rsid w:val="00F42B52"/>
    <w:rsid w:val="00F742DA"/>
    <w:rsid w:val="00F80E68"/>
    <w:rsid w:val="00F85322"/>
    <w:rsid w:val="00F935E3"/>
    <w:rsid w:val="00F97D33"/>
    <w:rsid w:val="00FB252D"/>
    <w:rsid w:val="00FB7323"/>
    <w:rsid w:val="00FE6900"/>
    <w:rsid w:val="00FF0B57"/>
    <w:rsid w:val="00FF212D"/>
    <w:rsid w:val="00FF7A8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86"/>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B0986"/>
    <w:rPr>
      <w:rFonts w:ascii="Calibri" w:eastAsia="Calibri" w:hAnsi="Calibri" w:cs="Times New Roman"/>
      <w:b/>
      <w:bCs/>
      <w:sz w:val="20"/>
      <w:szCs w:val="20"/>
      <w:lang w:eastAsia="en-US"/>
    </w:rPr>
  </w:style>
  <w:style w:type="paragraph" w:styleId="Header">
    <w:name w:val="header"/>
    <w:basedOn w:val="Normal"/>
    <w:link w:val="HeaderChar"/>
    <w:uiPriority w:val="99"/>
    <w:unhideWhenUsed/>
    <w:rsid w:val="00E9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86"/>
    <w:rPr>
      <w:rFonts w:eastAsiaTheme="minorEastAsia"/>
      <w:lang w:eastAsia="zh-CN"/>
    </w:rPr>
  </w:style>
  <w:style w:type="paragraph" w:styleId="Footer">
    <w:name w:val="footer"/>
    <w:basedOn w:val="Normal"/>
    <w:link w:val="FooterChar"/>
    <w:uiPriority w:val="99"/>
    <w:unhideWhenUsed/>
    <w:rsid w:val="00E9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86"/>
    <w:rPr>
      <w:rFonts w:eastAsiaTheme="minorEastAsia"/>
      <w:lang w:eastAsia="zh-CN"/>
    </w:rPr>
  </w:style>
  <w:style w:type="character" w:styleId="CommentReference">
    <w:name w:val="annotation reference"/>
    <w:basedOn w:val="DefaultParagraphFont"/>
    <w:uiPriority w:val="99"/>
    <w:semiHidden/>
    <w:unhideWhenUsed/>
    <w:rsid w:val="00AC203C"/>
    <w:rPr>
      <w:sz w:val="16"/>
      <w:szCs w:val="16"/>
    </w:rPr>
  </w:style>
  <w:style w:type="paragraph" w:styleId="CommentText">
    <w:name w:val="annotation text"/>
    <w:basedOn w:val="Normal"/>
    <w:link w:val="CommentTextChar"/>
    <w:uiPriority w:val="99"/>
    <w:unhideWhenUsed/>
    <w:rsid w:val="00AC203C"/>
    <w:pPr>
      <w:spacing w:line="240" w:lineRule="auto"/>
    </w:pPr>
    <w:rPr>
      <w:sz w:val="20"/>
      <w:szCs w:val="20"/>
    </w:rPr>
  </w:style>
  <w:style w:type="character" w:customStyle="1" w:styleId="CommentTextChar">
    <w:name w:val="Comment Text Char"/>
    <w:basedOn w:val="DefaultParagraphFont"/>
    <w:link w:val="CommentText"/>
    <w:uiPriority w:val="99"/>
    <w:rsid w:val="00AC203C"/>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AC203C"/>
    <w:rPr>
      <w:b/>
      <w:bCs/>
    </w:rPr>
  </w:style>
  <w:style w:type="character" w:customStyle="1" w:styleId="CommentSubjectChar">
    <w:name w:val="Comment Subject Char"/>
    <w:basedOn w:val="CommentTextChar"/>
    <w:link w:val="CommentSubject"/>
    <w:uiPriority w:val="99"/>
    <w:semiHidden/>
    <w:rsid w:val="00AC203C"/>
    <w:rPr>
      <w:rFonts w:eastAsiaTheme="minorEastAsia"/>
      <w:b/>
      <w:bCs/>
      <w:sz w:val="20"/>
      <w:szCs w:val="20"/>
      <w:lang w:eastAsia="zh-CN"/>
    </w:rPr>
  </w:style>
  <w:style w:type="character" w:styleId="Hyperlink">
    <w:name w:val="Hyperlink"/>
    <w:basedOn w:val="DefaultParagraphFont"/>
    <w:uiPriority w:val="99"/>
    <w:unhideWhenUsed/>
    <w:rsid w:val="00182C44"/>
    <w:rPr>
      <w:color w:val="0000FF" w:themeColor="hyperlink"/>
      <w:u w:val="single"/>
    </w:rPr>
  </w:style>
  <w:style w:type="character" w:styleId="UnresolvedMention">
    <w:name w:val="Unresolved Mention"/>
    <w:basedOn w:val="DefaultParagraphFont"/>
    <w:uiPriority w:val="99"/>
    <w:semiHidden/>
    <w:unhideWhenUsed/>
    <w:rsid w:val="00182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0425C5CFBA941B93B058ED95F2117" ma:contentTypeVersion="16" ma:contentTypeDescription="Create a new document." ma:contentTypeScope="" ma:versionID="8460e1fa17a0572de70ea187090711ad">
  <xsd:schema xmlns:xsd="http://www.w3.org/2001/XMLSchema" xmlns:xs="http://www.w3.org/2001/XMLSchema" xmlns:p="http://schemas.microsoft.com/office/2006/metadata/properties" xmlns:ns2="df2b90a9-d51c-4432-b8a7-b0ea868ad143" xmlns:ns3="af9bfd4b-5b0e-41c4-b495-5ba666996a2c" targetNamespace="http://schemas.microsoft.com/office/2006/metadata/properties" ma:root="true" ma:fieldsID="24859814b3d20cc01e89ddd90bfbccd0" ns2:_="" ns3:_="">
    <xsd:import namespace="df2b90a9-d51c-4432-b8a7-b0ea868ad143"/>
    <xsd:import namespace="af9bfd4b-5b0e-41c4-b495-5ba666996a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90a9-d51c-4432-b8a7-b0ea868ad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bfd4b-5b0e-41c4-b495-5ba666996a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6e6cd2-8647-42e1-ac6b-48730f2c2598}" ma:internalName="TaxCatchAll" ma:showField="CatchAllData" ma:web="af9bfd4b-5b0e-41c4-b495-5ba666996a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9bfd4b-5b0e-41c4-b495-5ba666996a2c" xsi:nil="true"/>
    <lcf76f155ced4ddcb4097134ff3c332f xmlns="df2b90a9-d51c-4432-b8a7-b0ea868ad1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CDBC1A-29AD-4151-B444-3930AF173F4B}"/>
</file>

<file path=customXml/itemProps2.xml><?xml version="1.0" encoding="utf-8"?>
<ds:datastoreItem xmlns:ds="http://schemas.openxmlformats.org/officeDocument/2006/customXml" ds:itemID="{C98D4E0D-2C15-491B-89AF-6353006EF05C}">
  <ds:schemaRefs>
    <ds:schemaRef ds:uri="http://schemas.microsoft.com/sharepoint/v3/contenttype/forms"/>
  </ds:schemaRefs>
</ds:datastoreItem>
</file>

<file path=customXml/itemProps3.xml><?xml version="1.0" encoding="utf-8"?>
<ds:datastoreItem xmlns:ds="http://schemas.openxmlformats.org/officeDocument/2006/customXml" ds:itemID="{CE36C260-9443-4B41-AB64-1EED00CC9030}">
  <ds:schemaRefs>
    <ds:schemaRef ds:uri="http://schemas.microsoft.com/office/2006/metadata/properties"/>
    <ds:schemaRef ds:uri="http://schemas.microsoft.com/office/infopath/2007/PartnerControls"/>
    <ds:schemaRef ds:uri="af9bfd4b-5b0e-41c4-b495-5ba666996a2c"/>
    <ds:schemaRef ds:uri="df2b90a9-d51c-4432-b8a7-b0ea868ad143"/>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Ljerka Horvat</cp:lastModifiedBy>
  <cp:revision>95</cp:revision>
  <cp:lastPrinted>2026-05-20T06:01:00Z</cp:lastPrinted>
  <dcterms:created xsi:type="dcterms:W3CDTF">2025-10-29T07:06:00Z</dcterms:created>
  <dcterms:modified xsi:type="dcterms:W3CDTF">2026-05-21T12:44:00Z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0x010100E190425C5CFBA941B93B058ED95F2117</vt:lpwstr>
  </property>
  <property fmtid="{D5CDD505-2E9C-101B-9397-08002B2CF9AE}" pid="3" name="MediaServiceImageTags">
    <vt:lpwstr/>
  </property>
</Properties>
</file>