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90ed5c4e64b0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27601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KARLOVAC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34.001.291,76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38.273.250,35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26.565.572,02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37.230.890,80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7.435.719,74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1.042.359,55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117.606,56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76.966,77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5.895.121,16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10.394.857,26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5.777.514,60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10.317.890,49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3.277.687,31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4.437.927,53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1.200.661,94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463.407,70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2.077.025,37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3.974.519,83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5.301.011,11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2025. godine ukupni Prihodi i primici ostvareni su u iznosu od 42.788.144,65 eura što je za 14,4% više u odnosu na njihovo ostvarenje u izvještajnom razdoblju prethodne godine. Ukupni rashodi i izdaci ostvareni su u iznosu od 48.089.155,76 eura što je za 42,9% više u odnosu na njihovo ostvarenje u prvih šest mjeseci 2024. godine. Rezultat toga je manjak prihoda i primitaka tekuće godine koji iznosi 5.301.011,11 eura od čega se na Grad Karlovac odnosi 2.990.757,85 eura, a na proračunske korisnike 2.310.253,26 eura. Grad Karlovac u svojoj nadležnosti ima 20 proračunskih korisnika od kojih jedanaest osnovnih škola, četiri ustanove kulture, dva dječja vrtića, Javnu vatrogasnu postrojbu Grada Karlovca, Javnu ustanovu Aquatika- slatkovodni akvarij Karlovac, Sportske objekte Karlovac i Kino Edison, multimedijski centar za kulturno – turističke sadržaje.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433.317,23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na obrascu Obveze iznosi 433.317,23 eura, a najvećim dijelom se odnosi na obveze na nabavu nefinancijske imovine koje su izvršene u iznosu od 408.564,98 eura i to najčešće iz razloga što je u trenutku zaprimanja ulaznog računa u upravni odjel za proračun i financije istome već isteklo dospijeće zbog kašnjenja u dostavi računa od strane dobavljača ili zbog dužeg postupka kontrole i obrade ulaznih računa u nadležnim upravnim odjelima.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Unutar grupne transakcije koje su u izvještajima eliminirane su konta 367/671 i  274/167  između Grada Karlovca  i proračunskih korisnika. A između samih proračunskih korisnika eleminirana su konta 369/639.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proračunskih korisnika ostvaren u izvještajnom razdoblju 2025. godine iznosi 2.310.253,26 eura od toga se na manjak osnovnih škola odnosi 1.199.045,07 eura dok se na ostale proračunske korisnike; ustanove kulture, dječje vrtiće, Javnu vatrogasnu postrojbu, Kino Edison i Aquatiku odnosi 1.100.216,14 eura manjka poslovanja tekuće godine, dok proračunski korisnik Sportski objekti Karlovac jedini iskazuje višak poslovanja u izvještajnom razdoblju u iznosu od 10.992,05 eura. Manjak prihoda poslovanja proračunskih korisnika rezultat je  prije svega promjene u načinu knjiženja plaća, naime s ukidanjem konta 193 početkom 2025. godine u ovo izvještajno razdoblje ulazi trošak plaće za šest mjeseci umjesto dosadašnjih pet plaća. Kod osnovnih škola prihodi koji se doznačuju za školsku prehranu od Ministarstva znanosti, obrazovanja i mladih ostvareni su za razdoblje do kraja svibnja 2025. godine, a troškovi su nastali i evidentirani do 30. lipnja 2025. godine. Proračunski korisnik Gradsko kazalište Zorin dom osim manjka proizašlog iz drugačijeg načina knjiženja troška plaće ima i manjak poslovanja uzrokovan nedovoljnim vlastitim sredstvima financiranja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e5f5ec60cf4b25" /></Relationships>
</file>