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418ae0686c545b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27601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KARLOVAC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23.784.984,08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27.201.153,50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16.857.140,99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24.238.014,95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6.927.843,09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2.963.138,55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117.133,93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75.485,29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5.510.208,42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10.003.901,52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5.393.074,49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9.928.416,23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3.277.687,31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4.437.927,53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1.200.661,94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463.407,70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2.077.025,37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3.974.519,83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2.990.757,85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izvještajnom razdoblju 2025. godine Prihodi poslovanja ostvareni su u iznosu od 27.201.153,50 eura što je za 14,4% više u odnosu na njihovo ostvarenje u izvještajnom razdoblju prethodne godine. Rashodi poslovanja veći su za 43,8% u odnosu na njihovo ostvarenje za prvih šest mjeseci 2024. godine na što je prije svega utjecalo značajno povećanje skupine Rashodi za donacije, kazne, naknade šteta i kapitalne pomoći koja iznosi 2.973.750,96 eura i odnosi se najvećim dijelom na naknade šteta pravnim i fizičkim osobama. Prihodi od prodaje nefinancijske imovine ostvareni su u iznosu od 75.485,29 eura što je za 35,6% manje u odnosu na njihovo ostvarenje u izvještajnom razdoblju 2024. godine kada je ova skupina iznosila 117.133,93 eura, razlog tome je manje izvršenje prihoda od prodaje građevinskih objekata koji su ostvareni u iznosu od 46.687,08 eura. Rashodi za nabavu nefinancijske imovine izvršeni su u iznosu od 10.003.901,52 eura i veći su za 81,6% u odnosu na isto razdoblje prethodne godine kada je njihovo ostvarenje iznosilo 5.510.208,42 eura. Ovo povećanje rashoda za nabavu nefinancijske imovine rezultat je prije svega povećane skupine Rashodi za dodatna ulaganja na građevinskim objektima koja je izvršena u iznosu od 2,758.894,22 eura (povećanje 2,5 puta u odnosu na prethodno razdoblje) i povećane skupine Rashodi za nabavu proizvedene dugotrajne imovine koja je izvršena u iznosu od 7.122.412,23 eura i veća je za 65,8% u odnosu na izvršenje iste skupine u izvještajnom razdoblju 2024. godine. Ova skupina rashoda se prije svega odnosi na izgradnju građevinskih objekata i rashoda za nabavu postrojenja i opreme. Skupina Primici od financijske imovine i zaduživanja ostvarena je u izvještajnom razdoblju 2025. godine u iznosu od 4.437.927,53 eura što je za 35,4% više u odnosu na ostvarenje ove skupine prihoda u 2024. godini dok su Izdaci za financijsku imovinu i otplate zajmova izvršeni u iznosu od 463.407,70 eura i manji su za 61,40% u odnosu na njihovo izvršenje 2024. godine kada je ova skupina rashoda izvršena u iznosu od 1.200.661,94 eura. U izvještajnom razdoblju 2024. godine imali smo izvršenje skupine Izdaci za ulaganja u dionice i udjele u glavnici trgovačkih društava u javnom sektoru u iznosu od 500.000 eura koji se odnose na dokapitalizaciju trgovačkog društva Gradska toplana. U prvih šest mjeseci 2025. godine ostvaren je manjak prihoda i primitaka u iznosu od 2.990.757,85 eura koji je rezultat manjka prihoda od nefinancijske imovine</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433.317,23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 Stanje dospjelih obveza na kraju izvještajnog razdoblja na obrascu Obveze iznosi 433.317,23 eura, a najvećim dijelom se odnosi na obveze na nabavu nefinancijske imovine koje su izvršene u iznosu od 408.564,98 eura (prekoračenje valute plaćanja).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0411c06677646fa" /></Relationships>
</file>