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1B84" w14:textId="77777777" w:rsidR="00A41BF1" w:rsidRDefault="007D7D5B" w:rsidP="007613FD">
      <w:pPr>
        <w:jc w:val="center"/>
      </w:pPr>
      <w:r>
        <w:rPr>
          <w:b/>
        </w:rPr>
        <w:t xml:space="preserve">Obrazloženje </w:t>
      </w:r>
    </w:p>
    <w:p w14:paraId="632155BE" w14:textId="787D9574" w:rsidR="00A41BF1" w:rsidRDefault="007D7D5B" w:rsidP="007613FD">
      <w:pPr>
        <w:jc w:val="center"/>
      </w:pPr>
      <w:r>
        <w:rPr>
          <w:b/>
        </w:rPr>
        <w:t>Prijedloga Proračuna Grada Karlovca za 202</w:t>
      </w:r>
      <w:r w:rsidR="009D7080">
        <w:rPr>
          <w:b/>
        </w:rPr>
        <w:t>4</w:t>
      </w:r>
      <w:r>
        <w:rPr>
          <w:b/>
        </w:rPr>
        <w:t xml:space="preserve">. godinu i </w:t>
      </w:r>
    </w:p>
    <w:p w14:paraId="10E33C1C" w14:textId="438CB94F" w:rsidR="00A41BF1" w:rsidRDefault="007D7D5B" w:rsidP="007613FD">
      <w:pPr>
        <w:jc w:val="center"/>
      </w:pPr>
      <w:r>
        <w:rPr>
          <w:b/>
        </w:rPr>
        <w:t>projekcije za 202</w:t>
      </w:r>
      <w:r w:rsidR="009D7080">
        <w:rPr>
          <w:b/>
        </w:rPr>
        <w:t>5</w:t>
      </w:r>
      <w:r>
        <w:rPr>
          <w:b/>
        </w:rPr>
        <w:t>. - 202</w:t>
      </w:r>
      <w:r w:rsidR="009D7080">
        <w:rPr>
          <w:b/>
        </w:rPr>
        <w:t>6</w:t>
      </w:r>
      <w:r>
        <w:rPr>
          <w:b/>
        </w:rPr>
        <w:t>. godinu</w:t>
      </w:r>
    </w:p>
    <w:p w14:paraId="7885A8BA" w14:textId="77777777" w:rsidR="00A41BF1" w:rsidRDefault="00A41BF1" w:rsidP="007613FD">
      <w:pPr>
        <w:jc w:val="center"/>
        <w:rPr>
          <w:sz w:val="32"/>
          <w:szCs w:val="32"/>
        </w:rPr>
      </w:pPr>
    </w:p>
    <w:p w14:paraId="3AA6EE5E" w14:textId="77777777" w:rsidR="00A41BF1" w:rsidRDefault="007D7D5B" w:rsidP="007613FD">
      <w:pPr>
        <w:pStyle w:val="Heading1"/>
        <w:spacing w:before="0" w:after="0"/>
      </w:pPr>
      <w:r>
        <w:t>UVOD</w:t>
      </w:r>
    </w:p>
    <w:p w14:paraId="31135D4C" w14:textId="77777777" w:rsidR="00A41BF1" w:rsidRDefault="00A41BF1" w:rsidP="007613FD">
      <w:pPr>
        <w:rPr>
          <w:rFonts w:ascii="Tahoma" w:eastAsia="Tahoma" w:hAnsi="Tahoma" w:cs="Tahoma"/>
          <w:sz w:val="21"/>
          <w:szCs w:val="21"/>
        </w:rPr>
      </w:pPr>
    </w:p>
    <w:p w14:paraId="5FB29943" w14:textId="4BF88611" w:rsidR="001229C5" w:rsidRDefault="00807DF4" w:rsidP="00010A3F">
      <w:pPr>
        <w:ind w:firstLine="432"/>
        <w:jc w:val="both"/>
      </w:pPr>
      <w:r>
        <w:t xml:space="preserve">Metodologija </w:t>
      </w:r>
      <w:r w:rsidR="00664523">
        <w:t>za izradu proračuna jedinica lokalne i područne (regionalne) samouprave propisana je Zakonom o pr</w:t>
      </w:r>
      <w:r w:rsidR="00AC3B27">
        <w:t>oračunu</w:t>
      </w:r>
      <w:r w:rsidR="001229C5">
        <w:t xml:space="preserve"> </w:t>
      </w:r>
      <w:r w:rsidR="00010A3F">
        <w:t>(Narodne novine, broj 144/21)</w:t>
      </w:r>
      <w:r w:rsidR="00AC3B27">
        <w:t xml:space="preserve"> </w:t>
      </w:r>
      <w:r w:rsidR="00010A3F">
        <w:t xml:space="preserve">koji je stupio na snagu 1. siječnja 2022. godine </w:t>
      </w:r>
      <w:r w:rsidR="00AC3B27">
        <w:t xml:space="preserve">i podzakonskim aktima kojima se uređuje provedba navedenog </w:t>
      </w:r>
      <w:r w:rsidR="002D753C">
        <w:t xml:space="preserve">Zakona. Do donošenja novih podzakonskih akata i u ovom proračunskom ciklusu </w:t>
      </w:r>
      <w:r w:rsidR="00292563">
        <w:t>koriste se Pravilnik o proračunskim klasifikacijama (Narodne novine, br</w:t>
      </w:r>
      <w:r w:rsidR="003F16DD">
        <w:t>oj 26/10, 120/12 i 1/20)</w:t>
      </w:r>
      <w:r w:rsidR="005B45AB">
        <w:t xml:space="preserve"> i Pravilnik o proračunskom računovodstvu i računskom planu (Narodne novine, </w:t>
      </w:r>
      <w:r w:rsidR="007D571C">
        <w:t>broj 124/</w:t>
      </w:r>
      <w:r w:rsidR="003568C4">
        <w:t>14, 115/15, 87/16, 3/18, 126/19 i 108/20)</w:t>
      </w:r>
      <w:r w:rsidR="003C6E56">
        <w:t xml:space="preserve">. </w:t>
      </w:r>
      <w:r w:rsidR="001C2A15">
        <w:t>Zakon</w:t>
      </w:r>
      <w:r w:rsidR="008A30B8">
        <w:t>om</w:t>
      </w:r>
      <w:r w:rsidR="001C2A15">
        <w:t xml:space="preserve"> o proračunu</w:t>
      </w:r>
      <w:r w:rsidR="008E3105">
        <w:t xml:space="preserve"> definirano je da se proračun sastoji od plana za proračunsku godinu </w:t>
      </w:r>
      <w:r w:rsidR="007919BA">
        <w:t xml:space="preserve">i projekcija za sljedeće dvije godine, a sadrži financijske planove </w:t>
      </w:r>
      <w:r w:rsidR="00FE3D1F">
        <w:t>proračunskih korisnika prikazane kroz opći i posebni dio i obrazloženje proračuna</w:t>
      </w:r>
      <w:r w:rsidR="006255CF">
        <w:t xml:space="preserve">. </w:t>
      </w:r>
      <w:r w:rsidR="001229C5">
        <w:t>Predstavničko tijelo jedinice lokalne i područne (regionalne) samouprave donosi proračun, odnosno plan za proračunsku godinu i projekcije za sljedeće dvije proračunske godine na razini skupine ekonomske klasifikacije (druga razina). Proračun i financijski planovi usvajaju u novoj valuti euro, što je obveza koja proizlazi iz Zakona o uvođenju eura kao službene valute u Republici Hrvatskoj, kao što je to bio slučaj i za proračunski ciklus 2023. – 2025. kada se prvi puta planiralo u novoj valuti.</w:t>
      </w:r>
    </w:p>
    <w:p w14:paraId="602E8A05" w14:textId="2A92A543" w:rsidR="00A41BF1" w:rsidRDefault="00ED5B4B" w:rsidP="00476324">
      <w:pPr>
        <w:autoSpaceDE w:val="0"/>
        <w:autoSpaceDN w:val="0"/>
        <w:adjustRightInd w:val="0"/>
        <w:jc w:val="both"/>
      </w:pPr>
      <w:r>
        <w:t xml:space="preserve">     </w:t>
      </w:r>
      <w:r w:rsidR="007D7D5B">
        <w:t xml:space="preserve">                  </w:t>
      </w:r>
    </w:p>
    <w:p w14:paraId="412B6D5A" w14:textId="760252E8" w:rsidR="001229C5" w:rsidRDefault="00261CD6" w:rsidP="000730A7">
      <w:pPr>
        <w:autoSpaceDE w:val="0"/>
        <w:autoSpaceDN w:val="0"/>
        <w:adjustRightInd w:val="0"/>
        <w:jc w:val="both"/>
      </w:pPr>
      <w:r>
        <w:t xml:space="preserve">           </w:t>
      </w:r>
      <w:r w:rsidR="00AC1894">
        <w:t xml:space="preserve">Ministarstvo </w:t>
      </w:r>
      <w:r w:rsidR="007A29D4">
        <w:t xml:space="preserve">financija je, sukladno odredbama članka 26. Zakona o proračunu </w:t>
      </w:r>
      <w:r w:rsidR="000975F0">
        <w:t xml:space="preserve">izradilo Upute za izradu proračuna </w:t>
      </w:r>
      <w:r w:rsidR="00020B61">
        <w:t>jedinica lokalne i područne (regionaln</w:t>
      </w:r>
      <w:r w:rsidR="0070528B">
        <w:t xml:space="preserve">e) </w:t>
      </w:r>
      <w:r w:rsidR="0099239F">
        <w:t>samouprave za razdoblje 202</w:t>
      </w:r>
      <w:r w:rsidR="001229C5">
        <w:t>4</w:t>
      </w:r>
      <w:r w:rsidR="0099239F">
        <w:t>.-202</w:t>
      </w:r>
      <w:r w:rsidR="001229C5">
        <w:t>6</w:t>
      </w:r>
      <w:r w:rsidR="0099239F">
        <w:t xml:space="preserve">. </w:t>
      </w:r>
      <w:r w:rsidR="00EE4C59">
        <w:t xml:space="preserve">Ove </w:t>
      </w:r>
      <w:r w:rsidR="008A7DA2">
        <w:t>U</w:t>
      </w:r>
      <w:r w:rsidR="00EE4C59">
        <w:t>pute dostavljaju</w:t>
      </w:r>
      <w:r w:rsidR="008A7DA2">
        <w:t xml:space="preserve"> se </w:t>
      </w:r>
      <w:r w:rsidR="00505CFE">
        <w:t>svim županijama, gradovima i općinama</w:t>
      </w:r>
      <w:r w:rsidR="008D19C0">
        <w:t xml:space="preserve"> kako bi </w:t>
      </w:r>
      <w:r w:rsidR="004F05B4">
        <w:t xml:space="preserve">njihovo upravno tijelo za financije </w:t>
      </w:r>
      <w:r w:rsidR="0093570D">
        <w:t>u suradnji s drugim upravnim tijelima izradilo upute za izradu prijedloga financijskih planova</w:t>
      </w:r>
      <w:r w:rsidR="00AD7F49">
        <w:t xml:space="preserve"> upravnih tijela te proračunskih i izvanproračunskih </w:t>
      </w:r>
      <w:r w:rsidR="008056B9">
        <w:t>korisnika jedinica lokalne i područne (regionalne) samouprave</w:t>
      </w:r>
      <w:r w:rsidR="00E778F4">
        <w:t xml:space="preserve"> i dostavile ih svojim proračunskim i izvanproračunskim korisnicima. </w:t>
      </w:r>
      <w:r w:rsidR="001229C5">
        <w:t>Uputama su navedene odredbe Zakona o proračunu u vezi izrade, predlaganja i donošenje proračuna i financijskih planova za razdoblje 202</w:t>
      </w:r>
      <w:r w:rsidR="00CE6EB5">
        <w:t>4</w:t>
      </w:r>
      <w:r w:rsidR="001229C5">
        <w:t>. – 202</w:t>
      </w:r>
      <w:r w:rsidR="00CE6EB5">
        <w:t>6</w:t>
      </w:r>
      <w:r w:rsidR="001229C5">
        <w:t xml:space="preserve">., a odnose se na </w:t>
      </w:r>
    </w:p>
    <w:p w14:paraId="69617F67" w14:textId="77777777" w:rsidR="001229C5" w:rsidRDefault="001229C5" w:rsidP="000730A7">
      <w:pPr>
        <w:autoSpaceDE w:val="0"/>
        <w:autoSpaceDN w:val="0"/>
        <w:adjustRightInd w:val="0"/>
        <w:jc w:val="both"/>
      </w:pPr>
    </w:p>
    <w:p w14:paraId="59900D38" w14:textId="0128FB10" w:rsidR="00374291" w:rsidRDefault="00C93DBC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Pre</w:t>
      </w:r>
      <w:r w:rsidR="004324B2">
        <w:t>dlaganje i donošenje proračuna i financijskih planova za 202</w:t>
      </w:r>
      <w:r w:rsidR="001229C5">
        <w:t>4</w:t>
      </w:r>
      <w:r w:rsidR="004324B2">
        <w:t>. i projekcija za 202</w:t>
      </w:r>
      <w:r w:rsidR="001229C5">
        <w:t>5</w:t>
      </w:r>
      <w:r w:rsidR="004324B2">
        <w:t xml:space="preserve">. </w:t>
      </w:r>
      <w:r w:rsidR="00374291">
        <w:t>i 202</w:t>
      </w:r>
      <w:r w:rsidR="001229C5">
        <w:t>6</w:t>
      </w:r>
      <w:r w:rsidR="00374291">
        <w:t>. godinu na razini skupine ekonomske klasifikacije (druga razina računskog plana)</w:t>
      </w:r>
    </w:p>
    <w:p w14:paraId="69A32CE0" w14:textId="77777777" w:rsidR="00F87030" w:rsidRDefault="00114FB2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Iskazivanje rashoda u Računu prihoda i rashoda po funkcijskoj klasifikac</w:t>
      </w:r>
      <w:r w:rsidR="00F87030">
        <w:t>iji</w:t>
      </w:r>
    </w:p>
    <w:p w14:paraId="073A8C7D" w14:textId="77777777" w:rsidR="001F154D" w:rsidRDefault="00F87030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Sažetak Računa prihoda i rashoda te </w:t>
      </w:r>
      <w:r w:rsidR="00F23A80">
        <w:t>s</w:t>
      </w:r>
      <w:r>
        <w:t>ažetak</w:t>
      </w:r>
      <w:r w:rsidR="0036200A">
        <w:t xml:space="preserve"> Računa </w:t>
      </w:r>
      <w:r w:rsidR="005579B4">
        <w:t xml:space="preserve">financiranja </w:t>
      </w:r>
      <w:r w:rsidR="00EB2D16">
        <w:t>u Općem dijelu proračuna i financijskog plana</w:t>
      </w:r>
    </w:p>
    <w:p w14:paraId="4FA2DFDB" w14:textId="77777777" w:rsidR="00D166AB" w:rsidRDefault="001F154D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Zakonska obveza izrade višegodišnjeg plana </w:t>
      </w:r>
      <w:r w:rsidR="00224ADF">
        <w:t>uravno</w:t>
      </w:r>
      <w:r w:rsidR="006260AF">
        <w:t xml:space="preserve">teženja </w:t>
      </w:r>
    </w:p>
    <w:p w14:paraId="583EE096" w14:textId="0112C72D" w:rsidR="00152CF6" w:rsidRDefault="00D166AB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Usvajanje prijedloga </w:t>
      </w:r>
      <w:r w:rsidR="006B558C">
        <w:t>financijskog plana od strane upravljačkih tijela u pro</w:t>
      </w:r>
      <w:r w:rsidR="007B2226">
        <w:t>računskim i izvanproračunskim korisnicima što je</w:t>
      </w:r>
      <w:r w:rsidR="00736901">
        <w:t xml:space="preserve"> obveza </w:t>
      </w:r>
      <w:r w:rsidR="007B2226">
        <w:t>propisana člankom 38.</w:t>
      </w:r>
      <w:r w:rsidR="006E4478">
        <w:t xml:space="preserve"> stavkom 2. i člankom 39. stavkom 2. Zakona o proračunu</w:t>
      </w:r>
      <w:r w:rsidR="00E23649">
        <w:t xml:space="preserve">; čelnik proračunskog i izvanproračunskog korisnika prije dostave financijskog plana </w:t>
      </w:r>
      <w:r w:rsidR="00BC0634">
        <w:t xml:space="preserve">nadležnom upravnom tijelu, </w:t>
      </w:r>
      <w:r w:rsidR="00E6796B">
        <w:t>obveza</w:t>
      </w:r>
      <w:r w:rsidR="0022449E">
        <w:t>n</w:t>
      </w:r>
      <w:r w:rsidR="00BC0634">
        <w:t xml:space="preserve"> je prijedlog financijskog plana </w:t>
      </w:r>
      <w:r w:rsidR="00EB7660">
        <w:t>uputiti upravljačkom tijelu na usvajanje</w:t>
      </w:r>
      <w:r w:rsidR="00F87030">
        <w:t xml:space="preserve"> </w:t>
      </w:r>
    </w:p>
    <w:p w14:paraId="29764266" w14:textId="183EDBD4" w:rsidR="00C96F8B" w:rsidRDefault="00152CF6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Obrazloženje </w:t>
      </w:r>
      <w:r w:rsidR="00C96F8B">
        <w:t>–</w:t>
      </w:r>
      <w:r w:rsidR="005C0EC7">
        <w:t xml:space="preserve"> </w:t>
      </w:r>
      <w:r w:rsidR="00736901">
        <w:t xml:space="preserve">sastavni </w:t>
      </w:r>
      <w:r w:rsidR="00C96F8B">
        <w:t>dio proračuna i financijskog plana</w:t>
      </w:r>
    </w:p>
    <w:p w14:paraId="37B4A0A8" w14:textId="0BF095BC" w:rsidR="00C96F8B" w:rsidRDefault="00493B20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Predlaganje amandmana na proračun jedinice lokalne </w:t>
      </w:r>
      <w:r w:rsidR="00BF61E9">
        <w:t>i područne (regionalne) samouprave</w:t>
      </w:r>
      <w:r w:rsidR="008F18FF">
        <w:t xml:space="preserve"> i financijski plan izvanproračunskog korisnika jedinice lokalne i </w:t>
      </w:r>
      <w:r w:rsidR="00E273E3">
        <w:t>područne (regionalne) samouprave</w:t>
      </w:r>
      <w:r w:rsidR="006B5835">
        <w:t>, člankom 41. Zakona o proračunu detal</w:t>
      </w:r>
      <w:r w:rsidR="009E1405">
        <w:t>j</w:t>
      </w:r>
      <w:r w:rsidR="006B5835">
        <w:t xml:space="preserve">no </w:t>
      </w:r>
      <w:r w:rsidR="00736901">
        <w:t xml:space="preserve">je </w:t>
      </w:r>
      <w:r w:rsidR="00500FB4">
        <w:t xml:space="preserve">uređeno predlaganje amandmana </w:t>
      </w:r>
      <w:r w:rsidR="005C0EC7">
        <w:t>tako</w:t>
      </w:r>
      <w:r w:rsidR="00500FB4">
        <w:t xml:space="preserve"> da se može predlagati povećanje proračunskih rashoda </w:t>
      </w:r>
      <w:r w:rsidR="009E1405">
        <w:t xml:space="preserve">iznad iznosa utvrđenih prijedlogom proračuna jedinice lokalne i područne (regionalne) samouprave </w:t>
      </w:r>
      <w:r w:rsidR="00C659BE">
        <w:t xml:space="preserve">pod uvjetom da se istodobno predloži smanjenje drugih rashoda u istom </w:t>
      </w:r>
      <w:r w:rsidR="00C659BE">
        <w:lastRenderedPageBreak/>
        <w:t xml:space="preserve">iznosu </w:t>
      </w:r>
      <w:r w:rsidR="00E14FB3">
        <w:t>i unutar istih izvora financiranja u posebnom dijelu proračuna ili financijskog plana</w:t>
      </w:r>
      <w:r w:rsidR="00C822D6">
        <w:t xml:space="preserve"> i povećanje proračunskih izdataka iznad iznosa utvrđenih prijedlogom </w:t>
      </w:r>
      <w:r w:rsidR="00473179">
        <w:t xml:space="preserve">proračuna jedinica lokalne i područne (regionalne) samouprave pod uvjetom da </w:t>
      </w:r>
      <w:r w:rsidR="009925A3">
        <w:t xml:space="preserve">se istodobno predloži smanjenje drugih izdataka u istom iznosu i unutar istih izvora financiranja </w:t>
      </w:r>
      <w:r w:rsidR="00E26006">
        <w:t>u posebnom dijelu proračuna ili financijskog plana</w:t>
      </w:r>
    </w:p>
    <w:p w14:paraId="29DB127E" w14:textId="3A2AA874" w:rsidR="00E26006" w:rsidRDefault="00E26006" w:rsidP="00C93DB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Transparentnost </w:t>
      </w:r>
      <w:r w:rsidR="00585CAD">
        <w:t xml:space="preserve">proračuna – zakonska obveza, odnosi se na obvezu objave proračuna i financijskih planova </w:t>
      </w:r>
      <w:r w:rsidR="002F2A86">
        <w:t>i ostale dokumentacije na mrežnim stranicama jedinica lokalne i područne (regionalne) samouprave</w:t>
      </w:r>
      <w:r w:rsidR="002724DC">
        <w:t xml:space="preserve"> i proračunskih i izvanproračunskih korisnika</w:t>
      </w:r>
    </w:p>
    <w:p w14:paraId="752AB232" w14:textId="77777777" w:rsidR="002724DC" w:rsidRDefault="002724DC" w:rsidP="00C96F8B">
      <w:pPr>
        <w:pStyle w:val="ListParagraph"/>
        <w:autoSpaceDE w:val="0"/>
        <w:autoSpaceDN w:val="0"/>
        <w:adjustRightInd w:val="0"/>
        <w:ind w:left="780"/>
        <w:jc w:val="both"/>
      </w:pPr>
    </w:p>
    <w:p w14:paraId="7184E91B" w14:textId="50575892" w:rsidR="00D74D6B" w:rsidRDefault="001B6220" w:rsidP="0029638E">
      <w:pPr>
        <w:pStyle w:val="ListParagraph"/>
        <w:autoSpaceDE w:val="0"/>
        <w:autoSpaceDN w:val="0"/>
        <w:adjustRightInd w:val="0"/>
        <w:ind w:left="0" w:firstLine="720"/>
        <w:jc w:val="both"/>
      </w:pPr>
      <w:r>
        <w:t xml:space="preserve">Proračun jedinice </w:t>
      </w:r>
      <w:r w:rsidR="003B291A">
        <w:t>lokalne i područne (regionalne) samouprave sastoji se od plana za proračunsku godinu i projekcije za sljedeće dvije godine</w:t>
      </w:r>
      <w:r w:rsidR="00D41BE6">
        <w:t xml:space="preserve">, a sadrži financijske planove proračunskih korisnika prikazane kroz opći i posebni dio i obrazloženje proračuna. </w:t>
      </w:r>
    </w:p>
    <w:p w14:paraId="0DB97D32" w14:textId="77777777" w:rsidR="0029638E" w:rsidRDefault="0029638E" w:rsidP="00CA199C">
      <w:pPr>
        <w:pStyle w:val="ListParagraph"/>
        <w:autoSpaceDE w:val="0"/>
        <w:autoSpaceDN w:val="0"/>
        <w:adjustRightInd w:val="0"/>
        <w:ind w:left="0"/>
        <w:jc w:val="both"/>
      </w:pPr>
    </w:p>
    <w:p w14:paraId="41EDCC47" w14:textId="6D952501" w:rsidR="00C95C72" w:rsidRDefault="00C95C72" w:rsidP="0029638E">
      <w:pPr>
        <w:pStyle w:val="ListParagraph"/>
        <w:autoSpaceDE w:val="0"/>
        <w:autoSpaceDN w:val="0"/>
        <w:adjustRightInd w:val="0"/>
        <w:ind w:left="0" w:firstLine="720"/>
        <w:jc w:val="both"/>
      </w:pPr>
      <w:r>
        <w:t xml:space="preserve">Detaljni prikaz sadržaja </w:t>
      </w:r>
      <w:r w:rsidR="00850548">
        <w:t>proračuna dan je u Tablici 1.</w:t>
      </w:r>
    </w:p>
    <w:p w14:paraId="10BCCDF6" w14:textId="77777777" w:rsidR="00D74D6B" w:rsidRDefault="00D74D6B" w:rsidP="00CA199C">
      <w:pPr>
        <w:pStyle w:val="ListParagraph"/>
        <w:autoSpaceDE w:val="0"/>
        <w:autoSpaceDN w:val="0"/>
        <w:adjustRightInd w:val="0"/>
        <w:ind w:left="0"/>
        <w:jc w:val="both"/>
      </w:pPr>
    </w:p>
    <w:p w14:paraId="35A8730D" w14:textId="3D38C22D" w:rsidR="002724DC" w:rsidRDefault="00B5726F" w:rsidP="00CA199C">
      <w:pPr>
        <w:pStyle w:val="ListParagraph"/>
        <w:autoSpaceDE w:val="0"/>
        <w:autoSpaceDN w:val="0"/>
        <w:adjustRightInd w:val="0"/>
        <w:ind w:left="0"/>
        <w:jc w:val="both"/>
      </w:pPr>
      <w:r>
        <w:t>Tablica 1. Proračun jedinica lokalne i područne (regionalne) samouprave za razdoblje 202</w:t>
      </w:r>
      <w:r w:rsidR="00CA199C">
        <w:t>4</w:t>
      </w:r>
      <w:r>
        <w:t>.-202</w:t>
      </w:r>
      <w:r w:rsidR="00CA199C">
        <w:t>6</w:t>
      </w:r>
      <w:r>
        <w:t>.</w:t>
      </w:r>
    </w:p>
    <w:p w14:paraId="6961B61C" w14:textId="7DDFE566" w:rsidR="002724DC" w:rsidRDefault="00420EB3" w:rsidP="00CA199C">
      <w:pPr>
        <w:pStyle w:val="ListParagraph"/>
        <w:autoSpaceDE w:val="0"/>
        <w:autoSpaceDN w:val="0"/>
        <w:adjustRightInd w:val="0"/>
        <w:ind w:left="780" w:hanging="780"/>
        <w:jc w:val="both"/>
      </w:pPr>
      <w:r w:rsidRPr="00420EB3">
        <w:rPr>
          <w:noProof/>
        </w:rPr>
        <w:drawing>
          <wp:inline distT="0" distB="0" distL="0" distR="0" wp14:anchorId="11708832" wp14:editId="0BC1776C">
            <wp:extent cx="5759450" cy="3495040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6FCEF" w14:textId="77777777" w:rsidR="002724DC" w:rsidRDefault="002724DC" w:rsidP="00C96F8B">
      <w:pPr>
        <w:pStyle w:val="ListParagraph"/>
        <w:autoSpaceDE w:val="0"/>
        <w:autoSpaceDN w:val="0"/>
        <w:adjustRightInd w:val="0"/>
        <w:ind w:left="780"/>
        <w:jc w:val="both"/>
      </w:pPr>
    </w:p>
    <w:p w14:paraId="4BD6DB14" w14:textId="7CB399A0" w:rsidR="00A41BF1" w:rsidRPr="003D1AFE" w:rsidRDefault="007D7D5B" w:rsidP="007613FD">
      <w:pPr>
        <w:jc w:val="both"/>
      </w:pPr>
      <w:r w:rsidRPr="00287666">
        <w:t xml:space="preserve">     </w:t>
      </w:r>
      <w:r w:rsidR="00984710">
        <w:tab/>
      </w:r>
      <w:r w:rsidRPr="00287666">
        <w:t>Upravni odjel za proračun i financije izradio je</w:t>
      </w:r>
      <w:r w:rsidR="007A02B2" w:rsidRPr="00287666">
        <w:t xml:space="preserve"> još početkom kolovoza</w:t>
      </w:r>
      <w:r w:rsidRPr="00287666">
        <w:t xml:space="preserve"> Upute za izradu Proračuna Grada Karlovca za razdoblje od 202</w:t>
      </w:r>
      <w:r w:rsidR="00CA199C">
        <w:t>4</w:t>
      </w:r>
      <w:r w:rsidRPr="00287666">
        <w:t>.- 202</w:t>
      </w:r>
      <w:r w:rsidR="00CA199C">
        <w:t>6</w:t>
      </w:r>
      <w:r w:rsidRPr="00287666">
        <w:t>. i dostavio ih proračunskim korisnicima s obrascima za izradu strukturnih dijelova proračuna.</w:t>
      </w:r>
      <w:r w:rsidRPr="003D1AFE">
        <w:t xml:space="preserve"> </w:t>
      </w:r>
    </w:p>
    <w:p w14:paraId="0C9F7C30" w14:textId="77777777" w:rsidR="00A41BF1" w:rsidRPr="003D1AFE" w:rsidRDefault="007D7D5B" w:rsidP="007613FD">
      <w:pPr>
        <w:jc w:val="both"/>
      </w:pPr>
      <w:r w:rsidRPr="003D1AFE">
        <w:t xml:space="preserve"> </w:t>
      </w:r>
    </w:p>
    <w:p w14:paraId="5D6C02D2" w14:textId="77777777" w:rsidR="00A41BF1" w:rsidRPr="003D1AFE" w:rsidRDefault="007D7D5B" w:rsidP="007613FD">
      <w:pPr>
        <w:jc w:val="both"/>
      </w:pPr>
      <w:r w:rsidRPr="00287666">
        <w:t>Upute  su sadržavale:</w:t>
      </w:r>
      <w:r w:rsidRPr="003D1AFE">
        <w:t xml:space="preserve"> </w:t>
      </w:r>
    </w:p>
    <w:p w14:paraId="24C45279" w14:textId="77777777" w:rsidR="00A41BF1" w:rsidRPr="003D1AFE" w:rsidRDefault="007D7D5B" w:rsidP="007613FD">
      <w:pPr>
        <w:numPr>
          <w:ilvl w:val="0"/>
          <w:numId w:val="1"/>
        </w:numPr>
      </w:pPr>
      <w:r w:rsidRPr="003D1AFE">
        <w:t>Metodologija izrade proračuna JLPRS</w:t>
      </w:r>
    </w:p>
    <w:p w14:paraId="1A9CA0A2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Namjenski i vlastiti prihodi proračunskih korisnika</w:t>
      </w:r>
    </w:p>
    <w:p w14:paraId="05CB34EE" w14:textId="1C827C81" w:rsidR="00A41BF1" w:rsidRPr="003D1AFE" w:rsidRDefault="007D7D5B" w:rsidP="007613FD">
      <w:pPr>
        <w:numPr>
          <w:ilvl w:val="1"/>
          <w:numId w:val="1"/>
        </w:numPr>
      </w:pPr>
      <w:r w:rsidRPr="003D1AFE">
        <w:t>Preraspodjele u 202</w:t>
      </w:r>
      <w:r w:rsidR="00CA199C">
        <w:t>4</w:t>
      </w:r>
      <w:r w:rsidRPr="003D1AFE">
        <w:t>.</w:t>
      </w:r>
    </w:p>
    <w:p w14:paraId="5FBA4C46" w14:textId="1C0472D1" w:rsidR="00A41BF1" w:rsidRPr="003D1AFE" w:rsidRDefault="00B34A78" w:rsidP="007613FD">
      <w:pPr>
        <w:numPr>
          <w:ilvl w:val="1"/>
          <w:numId w:val="1"/>
        </w:numPr>
      </w:pPr>
      <w:r>
        <w:t>Provedbeni program JLP(R)S</w:t>
      </w:r>
    </w:p>
    <w:p w14:paraId="090D1404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Primjena programske i organizacijske klasifikacije u izradi proračuna JLPRS</w:t>
      </w:r>
    </w:p>
    <w:p w14:paraId="55C59739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Izrada i donošenje proračuna i projekcija</w:t>
      </w:r>
    </w:p>
    <w:p w14:paraId="18474146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Primjena načela transparentnosti</w:t>
      </w:r>
    </w:p>
    <w:p w14:paraId="009FCC90" w14:textId="77777777" w:rsidR="00A41BF1" w:rsidRPr="003D1AFE" w:rsidRDefault="007D7D5B" w:rsidP="007613FD">
      <w:pPr>
        <w:numPr>
          <w:ilvl w:val="0"/>
          <w:numId w:val="1"/>
        </w:numPr>
      </w:pPr>
      <w:r w:rsidRPr="003D1AFE">
        <w:t>Okvirni prijedlog opsega financijskog plana</w:t>
      </w:r>
    </w:p>
    <w:p w14:paraId="0D775149" w14:textId="54EF208D" w:rsidR="00A41BF1" w:rsidRPr="003D1AFE" w:rsidRDefault="007D7D5B" w:rsidP="007613FD">
      <w:pPr>
        <w:numPr>
          <w:ilvl w:val="0"/>
          <w:numId w:val="1"/>
        </w:numPr>
      </w:pPr>
      <w:r w:rsidRPr="003D1AFE">
        <w:t xml:space="preserve">Metodologija izrade prijedloga financijskog plana proračunskog korisnika JLPRS </w:t>
      </w:r>
    </w:p>
    <w:p w14:paraId="35760E00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lastRenderedPageBreak/>
        <w:t>Procjena prihoda i primitaka</w:t>
      </w:r>
    </w:p>
    <w:p w14:paraId="0D03E8FD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Prijedlog Plana rashoda i izdataka</w:t>
      </w:r>
    </w:p>
    <w:p w14:paraId="6A0DD892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Obrazloženje financijskog plana</w:t>
      </w:r>
    </w:p>
    <w:p w14:paraId="303A4EC1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>Obrazloženje programa</w:t>
      </w:r>
    </w:p>
    <w:p w14:paraId="47EC034D" w14:textId="0AECCC95" w:rsidR="00A41BF1" w:rsidRPr="003D1AFE" w:rsidRDefault="007D7D5B" w:rsidP="007613FD">
      <w:pPr>
        <w:numPr>
          <w:ilvl w:val="1"/>
          <w:numId w:val="1"/>
        </w:numPr>
      </w:pPr>
      <w:r w:rsidRPr="003D1AFE">
        <w:t>Planiranje rashoda proračunskih kor</w:t>
      </w:r>
      <w:r w:rsidR="001C1BAE">
        <w:t>isnika</w:t>
      </w:r>
      <w:r w:rsidRPr="003D1AFE">
        <w:t xml:space="preserve"> u sklopu decentraliziranih funkcija</w:t>
      </w:r>
    </w:p>
    <w:p w14:paraId="44477BDC" w14:textId="77777777" w:rsidR="00A41BF1" w:rsidRPr="003D1AFE" w:rsidRDefault="007D7D5B" w:rsidP="007613FD">
      <w:pPr>
        <w:numPr>
          <w:ilvl w:val="1"/>
          <w:numId w:val="1"/>
        </w:numPr>
      </w:pPr>
      <w:r w:rsidRPr="003D1AFE">
        <w:t xml:space="preserve">Krajnji korisnici proračunskih sredstava </w:t>
      </w:r>
    </w:p>
    <w:p w14:paraId="05678D6D" w14:textId="77777777" w:rsidR="00A41BF1" w:rsidRPr="003D1AFE" w:rsidRDefault="007D7D5B" w:rsidP="007613FD">
      <w:pPr>
        <w:numPr>
          <w:ilvl w:val="0"/>
          <w:numId w:val="1"/>
        </w:numPr>
      </w:pPr>
      <w:r w:rsidRPr="003D1AFE">
        <w:t>E-riznica</w:t>
      </w:r>
    </w:p>
    <w:p w14:paraId="70A954A7" w14:textId="3F7C0BDF" w:rsidR="00A41BF1" w:rsidRPr="003D1AFE" w:rsidRDefault="007D7D5B" w:rsidP="007613FD">
      <w:pPr>
        <w:numPr>
          <w:ilvl w:val="0"/>
          <w:numId w:val="1"/>
        </w:numPr>
      </w:pPr>
      <w:r w:rsidRPr="003D1AFE">
        <w:t>Vremenska dinamika i</w:t>
      </w:r>
      <w:r w:rsidR="00AB691D">
        <w:t>zrade proračuna za razdoblje 202</w:t>
      </w:r>
      <w:r w:rsidR="00CA199C">
        <w:t>4</w:t>
      </w:r>
      <w:r w:rsidRPr="003D1AFE">
        <w:t>. -202</w:t>
      </w:r>
      <w:r w:rsidR="00CA199C">
        <w:t>6</w:t>
      </w:r>
      <w:r w:rsidRPr="003D1AFE">
        <w:t>. godina</w:t>
      </w:r>
    </w:p>
    <w:p w14:paraId="2B218481" w14:textId="77777777" w:rsidR="00A41BF1" w:rsidRPr="003D1AFE" w:rsidRDefault="007D7D5B" w:rsidP="007613FD">
      <w:pPr>
        <w:numPr>
          <w:ilvl w:val="0"/>
          <w:numId w:val="1"/>
        </w:numPr>
      </w:pPr>
      <w:r w:rsidRPr="003D1AFE">
        <w:t>Preuzimanje materijala</w:t>
      </w:r>
    </w:p>
    <w:p w14:paraId="17C71DBD" w14:textId="77777777" w:rsidR="002D15EF" w:rsidRDefault="002D15EF" w:rsidP="002D15EF">
      <w:pPr>
        <w:jc w:val="both"/>
      </w:pPr>
    </w:p>
    <w:p w14:paraId="5B4F9C0E" w14:textId="78E24201" w:rsidR="00494A45" w:rsidRDefault="00801DD8" w:rsidP="00887F7B">
      <w:pPr>
        <w:ind w:firstLine="708"/>
        <w:jc w:val="both"/>
      </w:pPr>
      <w:r>
        <w:t>Pri izradi proračuna potrebno je pridržavati se temeljnih proračunskih načela zakonitosti, ispravnosti, točnosti i transparentnosti. Proračun mora biti uravnotežen odnosno ukupni rashodi i izdaci moraju biti jednaki ukupnim prihodima i primicima. Proračunom se iskazuju svi prihodi i primici te rashodi i izdaci koji se planiraju prema organizacijskoj, ekonomskoj, funkcijskoj, programskoj i lokacijskoj klasifikaciji te izvorima financiranja. U proračunu se rashodi i izdaci vežu uz programe odnosno uz aktivnosti, kapitalne i tekuće projekte prema izvorima iz kojih će se financirati. U proračunu su sadržani i konsolidirani planovi svih proračunskih korisnika izrađeni po programima te usklađeni s proračunom i važećim posebnim zakonima. Iz navedenog proizlazi obveza uključivanja svih prihoda i primitaka, rashoda i izdataka koje proračunski korisnici ostvare od obavljanja poslova na tržištu u proračun jedinice lokalne i područne (regionalne) samouprave sukladno proračunskim klasifikacijama. Nastavno se daje obrazloženje Općeg dijela proračuna za 202</w:t>
      </w:r>
      <w:r w:rsidR="00494A45">
        <w:t>4</w:t>
      </w:r>
      <w:r>
        <w:t>. godinu i projekcija za 202</w:t>
      </w:r>
      <w:r w:rsidR="00494A45">
        <w:t>5</w:t>
      </w:r>
      <w:r>
        <w:t>. i 202</w:t>
      </w:r>
      <w:r w:rsidR="00494A45">
        <w:t>6</w:t>
      </w:r>
      <w:r>
        <w:t>. godinu, odnosno struktura prihoda i rashoda, te primitaka i izdataka Proračuna. Posebni dio proračuna sadrži rashode i izdatke proračunskih korisnika iz njihovih financijskih planova koji su raspoređeni po razdjelima čiji su nositelji upravni odjeli, te glavama unutar pojedinih razdjela za krajnje korisnike.</w:t>
      </w:r>
      <w:r w:rsidR="00A87ED6">
        <w:t xml:space="preserve"> </w:t>
      </w:r>
    </w:p>
    <w:p w14:paraId="5C2785CC" w14:textId="65B774AA" w:rsidR="00A41BF1" w:rsidRPr="001B57FF" w:rsidRDefault="007D7D5B" w:rsidP="00043522">
      <w:pPr>
        <w:autoSpaceDE w:val="0"/>
        <w:autoSpaceDN w:val="0"/>
        <w:adjustRightInd w:val="0"/>
        <w:ind w:firstLine="705"/>
        <w:jc w:val="both"/>
      </w:pPr>
      <w:r w:rsidRPr="00E05B3C">
        <w:t xml:space="preserve">Gradonačelnik Grada Karlovca </w:t>
      </w:r>
      <w:r w:rsidR="00E05B3C" w:rsidRPr="00E05B3C">
        <w:t xml:space="preserve">predstavio </w:t>
      </w:r>
      <w:r w:rsidRPr="00E05B3C">
        <w:t xml:space="preserve">je </w:t>
      </w:r>
      <w:r w:rsidR="00402D7D">
        <w:t>6</w:t>
      </w:r>
      <w:r w:rsidRPr="00E05B3C">
        <w:t xml:space="preserve">. </w:t>
      </w:r>
      <w:r w:rsidR="00E05B3C" w:rsidRPr="00E05B3C">
        <w:t>studenog</w:t>
      </w:r>
      <w:r w:rsidRPr="00E05B3C">
        <w:t xml:space="preserve"> 20</w:t>
      </w:r>
      <w:r w:rsidR="00D615A0" w:rsidRPr="00E05B3C">
        <w:t>2</w:t>
      </w:r>
      <w:r w:rsidR="00402D7D">
        <w:t>3</w:t>
      </w:r>
      <w:r w:rsidRPr="00E05B3C">
        <w:t>. godine Nacrt Proračuna</w:t>
      </w:r>
      <w:r w:rsidRPr="00421702">
        <w:t xml:space="preserve"> Grada Karlovca za 202</w:t>
      </w:r>
      <w:r w:rsidR="00402D7D">
        <w:t>4</w:t>
      </w:r>
      <w:r w:rsidRPr="00421702">
        <w:t>.</w:t>
      </w:r>
      <w:r w:rsidR="00402D7D">
        <w:t xml:space="preserve"> </w:t>
      </w:r>
      <w:r w:rsidRPr="00421702">
        <w:t>godinu (K</w:t>
      </w:r>
      <w:r w:rsidR="00623948" w:rsidRPr="00421702">
        <w:t>LASA</w:t>
      </w:r>
      <w:r w:rsidRPr="00421702">
        <w:t xml:space="preserve">: </w:t>
      </w:r>
      <w:r w:rsidR="00402D7D">
        <w:t xml:space="preserve">400-06/23-01/02 </w:t>
      </w:r>
      <w:r w:rsidRPr="00421702">
        <w:t>U</w:t>
      </w:r>
      <w:r w:rsidR="00623948" w:rsidRPr="00421702">
        <w:t>RBROJ</w:t>
      </w:r>
      <w:r w:rsidRPr="00421702">
        <w:t xml:space="preserve">: </w:t>
      </w:r>
      <w:r w:rsidR="00402D7D">
        <w:t>2133/01-04/01-23-4</w:t>
      </w:r>
      <w:r w:rsidRPr="00421702">
        <w:t>),</w:t>
      </w:r>
      <w:r w:rsidRPr="001B57FF">
        <w:t xml:space="preserve"> koji je upućen na javn</w:t>
      </w:r>
      <w:r w:rsidR="0029638E">
        <w:t>o savjetovanje sa zainteresiranom javnošću</w:t>
      </w:r>
      <w:r w:rsidRPr="001B57FF">
        <w:t xml:space="preserve"> putem objave na internet stranici Grada Karlovca, a koja je trajala do </w:t>
      </w:r>
      <w:r w:rsidR="00892CC3">
        <w:t>1</w:t>
      </w:r>
      <w:r w:rsidR="00402D7D">
        <w:t>3</w:t>
      </w:r>
      <w:r w:rsidRPr="001B57FF">
        <w:t>. studenog 20</w:t>
      </w:r>
      <w:r w:rsidR="001B57FF">
        <w:t>2</w:t>
      </w:r>
      <w:r w:rsidR="00402D7D">
        <w:t>3</w:t>
      </w:r>
      <w:r w:rsidRPr="001B57FF">
        <w:t>. godine.</w:t>
      </w:r>
      <w:r w:rsidR="00223C2F">
        <w:t xml:space="preserve"> </w:t>
      </w:r>
      <w:r w:rsidR="00C411FD" w:rsidRPr="002D465A">
        <w:t>Na Nacrt proračuna za 2024.</w:t>
      </w:r>
      <w:r w:rsidR="00C411FD">
        <w:t xml:space="preserve"> </w:t>
      </w:r>
      <w:r w:rsidR="00C411FD" w:rsidRPr="002D465A">
        <w:t xml:space="preserve">godinu koji je bio na javnoj raspravi primjedbe i prijedloge </w:t>
      </w:r>
      <w:r w:rsidR="005E515F">
        <w:t>nisu zaprimljene u utvrđenom roku.</w:t>
      </w:r>
      <w:r w:rsidR="00043522">
        <w:t xml:space="preserve"> </w:t>
      </w:r>
      <w:r w:rsidRPr="001B57FF">
        <w:t xml:space="preserve">U predgovoru Nacrta dano je obrazloženje kretanja proračuna Grada Karlovca u narednom trogodišnjem razdoblju. </w:t>
      </w:r>
    </w:p>
    <w:p w14:paraId="7B6E07EF" w14:textId="6AC603D2" w:rsidR="00831872" w:rsidRPr="00A74DE5" w:rsidRDefault="007D7D5B" w:rsidP="00831872">
      <w:pPr>
        <w:jc w:val="both"/>
      </w:pPr>
      <w:r>
        <w:t xml:space="preserve">            </w:t>
      </w:r>
      <w:r w:rsidR="00045845" w:rsidRPr="002A37F5">
        <w:rPr>
          <w:color w:val="000000"/>
          <w:spacing w:val="-5"/>
        </w:rPr>
        <w:t xml:space="preserve">Ukupni prihodi proračuna Grada Karlovca planirani su na razini od </w:t>
      </w:r>
      <w:r w:rsidR="00473F7C" w:rsidRPr="002220D9">
        <w:rPr>
          <w:color w:val="000000"/>
          <w:spacing w:val="-5"/>
        </w:rPr>
        <w:t>9</w:t>
      </w:r>
      <w:r w:rsidR="002220D9" w:rsidRPr="002220D9">
        <w:rPr>
          <w:color w:val="000000"/>
          <w:spacing w:val="-5"/>
        </w:rPr>
        <w:t>5</w:t>
      </w:r>
      <w:r w:rsidR="00473F7C" w:rsidRPr="002220D9">
        <w:rPr>
          <w:color w:val="000000"/>
          <w:spacing w:val="-5"/>
        </w:rPr>
        <w:t>,</w:t>
      </w:r>
      <w:r w:rsidR="002220D9" w:rsidRPr="002220D9">
        <w:rPr>
          <w:color w:val="000000"/>
          <w:spacing w:val="-5"/>
        </w:rPr>
        <w:t>2</w:t>
      </w:r>
      <w:r w:rsidR="00045845" w:rsidRPr="002220D9">
        <w:rPr>
          <w:color w:val="000000"/>
          <w:spacing w:val="-5"/>
        </w:rPr>
        <w:t xml:space="preserve"> mil</w:t>
      </w:r>
      <w:r w:rsidR="00045845" w:rsidRPr="002A37F5">
        <w:rPr>
          <w:color w:val="000000"/>
          <w:spacing w:val="-5"/>
        </w:rPr>
        <w:t>.</w:t>
      </w:r>
      <w:r w:rsidR="00D52FCB">
        <w:rPr>
          <w:color w:val="000000"/>
          <w:spacing w:val="-5"/>
        </w:rPr>
        <w:t xml:space="preserve"> </w:t>
      </w:r>
      <w:r w:rsidR="00BF4BC0">
        <w:rPr>
          <w:color w:val="000000"/>
          <w:spacing w:val="-5"/>
        </w:rPr>
        <w:t>eura</w:t>
      </w:r>
      <w:r w:rsidR="00681765">
        <w:rPr>
          <w:color w:val="000000"/>
          <w:spacing w:val="-5"/>
        </w:rPr>
        <w:t xml:space="preserve"> </w:t>
      </w:r>
      <w:r w:rsidR="00045845" w:rsidRPr="002A37F5">
        <w:rPr>
          <w:color w:val="000000"/>
          <w:spacing w:val="-5"/>
        </w:rPr>
        <w:t xml:space="preserve">s uključenim prihodima proračunskih korisnika koji su integrirani u lokalnu riznicu Grada Karlovca </w:t>
      </w:r>
      <w:r w:rsidR="003A395C">
        <w:rPr>
          <w:color w:val="000000"/>
          <w:spacing w:val="-5"/>
        </w:rPr>
        <w:t xml:space="preserve">i </w:t>
      </w:r>
      <w:r w:rsidR="00045845" w:rsidRPr="002A37F5">
        <w:rPr>
          <w:color w:val="000000"/>
          <w:spacing w:val="-5"/>
        </w:rPr>
        <w:t>s uključenim prihodima od Ministarstva obrazovanja za plaće zaposlenih u osnov</w:t>
      </w:r>
      <w:r w:rsidR="008F0652">
        <w:rPr>
          <w:color w:val="000000"/>
          <w:spacing w:val="-5"/>
        </w:rPr>
        <w:t>ni</w:t>
      </w:r>
      <w:r w:rsidR="00045845" w:rsidRPr="002A37F5">
        <w:rPr>
          <w:color w:val="000000"/>
          <w:spacing w:val="-5"/>
        </w:rPr>
        <w:t>m školama.</w:t>
      </w:r>
      <w:r w:rsidR="00831872">
        <w:rPr>
          <w:color w:val="000000"/>
          <w:spacing w:val="-5"/>
        </w:rPr>
        <w:t xml:space="preserve"> U narednoj godini očekuje se </w:t>
      </w:r>
      <w:r w:rsidR="00831872">
        <w:rPr>
          <w:rStyle w:val="normaltextrun1"/>
        </w:rPr>
        <w:t xml:space="preserve">smanjenje poreznih prihoda uslijed porezne reforme kojom se ukida prirez porezu na dohodak i povećavaju porezne olakšice. Prihodi od poreza na dohodak planirani su u </w:t>
      </w:r>
      <w:r w:rsidR="00831872" w:rsidRPr="00A74DE5">
        <w:rPr>
          <w:rStyle w:val="normaltextrun1"/>
        </w:rPr>
        <w:t xml:space="preserve">visini od </w:t>
      </w:r>
      <w:r w:rsidR="00831872">
        <w:rPr>
          <w:rStyle w:val="normaltextrun1"/>
        </w:rPr>
        <w:t xml:space="preserve">23,3 </w:t>
      </w:r>
      <w:r w:rsidR="00831872" w:rsidRPr="00A74DE5">
        <w:rPr>
          <w:rStyle w:val="normaltextrun1"/>
        </w:rPr>
        <w:t xml:space="preserve">mil. </w:t>
      </w:r>
      <w:r w:rsidR="00831872">
        <w:rPr>
          <w:rStyle w:val="normaltextrun1"/>
        </w:rPr>
        <w:t>eura</w:t>
      </w:r>
      <w:r w:rsidR="00831872" w:rsidRPr="00A74DE5">
        <w:rPr>
          <w:rStyle w:val="normaltextrun1"/>
        </w:rPr>
        <w:t xml:space="preserve"> što čini oko 2</w:t>
      </w:r>
      <w:r w:rsidR="00831872">
        <w:rPr>
          <w:rStyle w:val="normaltextrun1"/>
        </w:rPr>
        <w:t>4,</w:t>
      </w:r>
      <w:r w:rsidR="00F83763">
        <w:rPr>
          <w:rStyle w:val="normaltextrun1"/>
        </w:rPr>
        <w:t>5</w:t>
      </w:r>
      <w:r w:rsidR="00831872" w:rsidRPr="00A74DE5">
        <w:rPr>
          <w:rStyle w:val="normaltextrun1"/>
        </w:rPr>
        <w:t>% gradskih prihoda</w:t>
      </w:r>
      <w:r w:rsidR="00831872">
        <w:rPr>
          <w:rStyle w:val="normaltextrun1"/>
        </w:rPr>
        <w:t>, dok ukupni opći prihodi iznose 27,2 mil. eura. I</w:t>
      </w:r>
      <w:r w:rsidR="00831872" w:rsidRPr="00A74DE5">
        <w:rPr>
          <w:rStyle w:val="normaltextrun1"/>
        </w:rPr>
        <w:t>z nacionalnih izvora</w:t>
      </w:r>
      <w:r w:rsidR="00831872" w:rsidRPr="00831872">
        <w:rPr>
          <w:rStyle w:val="normaltextrun1"/>
        </w:rPr>
        <w:t xml:space="preserve"> </w:t>
      </w:r>
      <w:r w:rsidR="00831872" w:rsidRPr="00A74DE5">
        <w:rPr>
          <w:rStyle w:val="normaltextrun1"/>
        </w:rPr>
        <w:t>očekuju se prihodi </w:t>
      </w:r>
      <w:r w:rsidR="00831872">
        <w:rPr>
          <w:rStyle w:val="normaltextrun1"/>
        </w:rPr>
        <w:t>u iznosu o</w:t>
      </w:r>
      <w:r w:rsidR="00831872" w:rsidRPr="00A74DE5">
        <w:rPr>
          <w:rStyle w:val="normaltextrun1"/>
        </w:rPr>
        <w:t xml:space="preserve">ko </w:t>
      </w:r>
      <w:r w:rsidR="00831872" w:rsidRPr="005D30A0">
        <w:rPr>
          <w:rStyle w:val="normaltextrun1"/>
        </w:rPr>
        <w:t xml:space="preserve">18,4 mil. </w:t>
      </w:r>
      <w:r w:rsidR="00831872">
        <w:rPr>
          <w:rStyle w:val="normaltextrun1"/>
        </w:rPr>
        <w:t>eura, i to najvećim dijelom za</w:t>
      </w:r>
      <w:r w:rsidR="00831872" w:rsidRPr="00A74DE5">
        <w:rPr>
          <w:rStyle w:val="normaltextrun1"/>
        </w:rPr>
        <w:t xml:space="preserve"> financiranj</w:t>
      </w:r>
      <w:r w:rsidR="00831872">
        <w:rPr>
          <w:rStyle w:val="normaltextrun1"/>
        </w:rPr>
        <w:t>e</w:t>
      </w:r>
      <w:r w:rsidR="00831872" w:rsidRPr="00A74DE5">
        <w:rPr>
          <w:rStyle w:val="normaltextrun1"/>
        </w:rPr>
        <w:t xml:space="preserve"> proračunskih korisnika </w:t>
      </w:r>
      <w:r w:rsidR="00831872">
        <w:rPr>
          <w:rStyle w:val="normaltextrun1"/>
        </w:rPr>
        <w:t xml:space="preserve">i </w:t>
      </w:r>
      <w:r w:rsidR="00831872" w:rsidRPr="00A74DE5">
        <w:rPr>
          <w:rStyle w:val="normaltextrun1"/>
        </w:rPr>
        <w:t>sufinanciranju gradskih projekata</w:t>
      </w:r>
      <w:r w:rsidR="00831872">
        <w:rPr>
          <w:rStyle w:val="normaltextrun1"/>
        </w:rPr>
        <w:t>, iz europskih f</w:t>
      </w:r>
      <w:r w:rsidR="00831872" w:rsidRPr="00A74DE5">
        <w:rPr>
          <w:rStyle w:val="normaltextrun1"/>
        </w:rPr>
        <w:t xml:space="preserve">ondova očekuju </w:t>
      </w:r>
      <w:r w:rsidR="004E6F31">
        <w:rPr>
          <w:rStyle w:val="normaltextrun1"/>
        </w:rPr>
        <w:t xml:space="preserve">se </w:t>
      </w:r>
      <w:r w:rsidR="00831872" w:rsidRPr="00A74DE5">
        <w:rPr>
          <w:rStyle w:val="normaltextrun1"/>
        </w:rPr>
        <w:t xml:space="preserve">prihodi u visini od </w:t>
      </w:r>
      <w:r w:rsidR="00831872">
        <w:rPr>
          <w:rStyle w:val="normaltextrun1"/>
        </w:rPr>
        <w:t>23 mil. eura,</w:t>
      </w:r>
      <w:r w:rsidR="004E6F31">
        <w:rPr>
          <w:rStyle w:val="normaltextrun1"/>
        </w:rPr>
        <w:t xml:space="preserve"> a</w:t>
      </w:r>
      <w:r w:rsidR="00831872">
        <w:rPr>
          <w:rStyle w:val="normaltextrun1"/>
        </w:rPr>
        <w:t xml:space="preserve"> gotovo sve se odnosi na financiranje gradskih projekata, dok su kreditna sredstva planirana u iznosu 9,</w:t>
      </w:r>
      <w:r w:rsidR="00DB5A2F">
        <w:rPr>
          <w:rStyle w:val="normaltextrun1"/>
        </w:rPr>
        <w:t>6</w:t>
      </w:r>
      <w:r w:rsidR="00831872" w:rsidRPr="00A74DE5">
        <w:rPr>
          <w:rStyle w:val="normaltextrun1"/>
        </w:rPr>
        <w:t xml:space="preserve"> mil. </w:t>
      </w:r>
      <w:r w:rsidR="00831872">
        <w:rPr>
          <w:rStyle w:val="normaltextrun1"/>
        </w:rPr>
        <w:t>eura</w:t>
      </w:r>
      <w:r w:rsidR="00831872" w:rsidRPr="00A74DE5">
        <w:rPr>
          <w:rStyle w:val="normaltextrun1"/>
        </w:rPr>
        <w:t>.</w:t>
      </w:r>
    </w:p>
    <w:p w14:paraId="46A87DE3" w14:textId="02F5EFE9" w:rsidR="00831872" w:rsidRPr="00A74DE5" w:rsidRDefault="00831872" w:rsidP="00831872">
      <w:pPr>
        <w:pStyle w:val="paragraph"/>
        <w:ind w:firstLine="705"/>
        <w:jc w:val="both"/>
        <w:textAlignment w:val="baseline"/>
      </w:pPr>
      <w:r w:rsidRPr="00A74DE5">
        <w:rPr>
          <w:rStyle w:val="normaltextrun1"/>
        </w:rPr>
        <w:t xml:space="preserve">Najveći infrastrukturni projekt koji je započet u 2021. godini je Aglomeracija Karlovac </w:t>
      </w:r>
      <w:r w:rsidR="0030080C">
        <w:rPr>
          <w:rStyle w:val="normaltextrun1"/>
        </w:rPr>
        <w:t xml:space="preserve">- </w:t>
      </w:r>
      <w:r w:rsidRPr="00A74DE5">
        <w:rPr>
          <w:rStyle w:val="normaltextrun1"/>
        </w:rPr>
        <w:t>Duga Resa koji će zbog opsega i veličine zahvata u više dijelova grada trajati do kraja 202</w:t>
      </w:r>
      <w:r>
        <w:rPr>
          <w:rStyle w:val="normaltextrun1"/>
        </w:rPr>
        <w:t>4</w:t>
      </w:r>
      <w:r w:rsidRPr="00A74DE5">
        <w:rPr>
          <w:rStyle w:val="normaltextrun1"/>
        </w:rPr>
        <w:t xml:space="preserve">. godine, </w:t>
      </w:r>
      <w:r w:rsidR="0030080C">
        <w:rPr>
          <w:rStyle w:val="normaltextrun1"/>
        </w:rPr>
        <w:t>dok bi proje</w:t>
      </w:r>
      <w:r w:rsidR="00727969">
        <w:rPr>
          <w:rStyle w:val="normaltextrun1"/>
        </w:rPr>
        <w:t>k</w:t>
      </w:r>
      <w:r w:rsidR="0030080C">
        <w:rPr>
          <w:rStyle w:val="normaltextrun1"/>
        </w:rPr>
        <w:t>t</w:t>
      </w:r>
      <w:r>
        <w:rPr>
          <w:rStyle w:val="normaltextrun1"/>
        </w:rPr>
        <w:t xml:space="preserve"> u Zvijezdi trebao bi biti dovršen u </w:t>
      </w:r>
      <w:r w:rsidR="0030080C">
        <w:rPr>
          <w:rStyle w:val="normaltextrun1"/>
        </w:rPr>
        <w:t>prvoj polovici</w:t>
      </w:r>
      <w:r>
        <w:rPr>
          <w:rStyle w:val="normaltextrun1"/>
        </w:rPr>
        <w:t xml:space="preserve"> 2025. godine</w:t>
      </w:r>
      <w:r w:rsidRPr="00A74DE5">
        <w:rPr>
          <w:rStyle w:val="normaltextrun1"/>
        </w:rPr>
        <w:t xml:space="preserve">. </w:t>
      </w:r>
      <w:r w:rsidR="0030080C">
        <w:rPr>
          <w:rStyle w:val="normaltextrun1"/>
        </w:rPr>
        <w:t xml:space="preserve">Grad Karlovac financira </w:t>
      </w:r>
      <w:r w:rsidRPr="00A74DE5">
        <w:rPr>
          <w:rStyle w:val="normaltextrun1"/>
        </w:rPr>
        <w:t xml:space="preserve">projekt </w:t>
      </w:r>
      <w:r w:rsidR="0030080C">
        <w:rPr>
          <w:rStyle w:val="normaltextrun1"/>
        </w:rPr>
        <w:t>s</w:t>
      </w:r>
      <w:r w:rsidRPr="00A74DE5">
        <w:rPr>
          <w:rStyle w:val="normaltextrun1"/>
        </w:rPr>
        <w:t xml:space="preserve"> 1</w:t>
      </w:r>
      <w:r>
        <w:rPr>
          <w:rStyle w:val="normaltextrun1"/>
        </w:rPr>
        <w:t>2,5</w:t>
      </w:r>
      <w:r w:rsidRPr="00A74DE5">
        <w:rPr>
          <w:rStyle w:val="normaltextrun1"/>
        </w:rPr>
        <w:t xml:space="preserve"> mil. </w:t>
      </w:r>
      <w:r w:rsidR="0030080C">
        <w:rPr>
          <w:rStyle w:val="normaltextrun1"/>
        </w:rPr>
        <w:t>eura o</w:t>
      </w:r>
      <w:r w:rsidRPr="00A74DE5">
        <w:rPr>
          <w:rStyle w:val="normaltextrun1"/>
        </w:rPr>
        <w:t>d čega se na 202</w:t>
      </w:r>
      <w:r>
        <w:rPr>
          <w:rStyle w:val="normaltextrun1"/>
        </w:rPr>
        <w:t>4</w:t>
      </w:r>
      <w:r w:rsidRPr="00A74DE5">
        <w:rPr>
          <w:rStyle w:val="normaltextrun1"/>
        </w:rPr>
        <w:t xml:space="preserve">. godinu </w:t>
      </w:r>
      <w:r>
        <w:rPr>
          <w:rStyle w:val="normaltextrun1"/>
        </w:rPr>
        <w:t>o</w:t>
      </w:r>
      <w:r w:rsidRPr="00A74DE5">
        <w:rPr>
          <w:rStyle w:val="normaltextrun1"/>
        </w:rPr>
        <w:t xml:space="preserve">dnosi </w:t>
      </w:r>
      <w:r w:rsidR="005E515F" w:rsidRPr="005E515F">
        <w:rPr>
          <w:rStyle w:val="normaltextrun1"/>
        </w:rPr>
        <w:t>6</w:t>
      </w:r>
      <w:r w:rsidRPr="005E515F">
        <w:rPr>
          <w:rStyle w:val="normaltextrun1"/>
        </w:rPr>
        <w:t>,38 mil.</w:t>
      </w:r>
      <w:r w:rsidRPr="005E515F">
        <w:rPr>
          <w:rStyle w:val="eop"/>
        </w:rPr>
        <w:t> </w:t>
      </w:r>
      <w:r w:rsidR="00727969" w:rsidRPr="005E515F">
        <w:rPr>
          <w:rStyle w:val="eop"/>
        </w:rPr>
        <w:t>eura</w:t>
      </w:r>
      <w:r w:rsidR="00727969">
        <w:rPr>
          <w:rStyle w:val="eop"/>
        </w:rPr>
        <w:t>.</w:t>
      </w:r>
    </w:p>
    <w:p w14:paraId="5920124A" w14:textId="19CF504F" w:rsidR="00831872" w:rsidRPr="00A74DE5" w:rsidRDefault="004E6F31" w:rsidP="00831872">
      <w:pPr>
        <w:pStyle w:val="paragraph"/>
        <w:ind w:firstLine="705"/>
        <w:jc w:val="both"/>
        <w:textAlignment w:val="baseline"/>
        <w:rPr>
          <w:rStyle w:val="eop"/>
        </w:rPr>
      </w:pPr>
      <w:r>
        <w:rPr>
          <w:rStyle w:val="eop"/>
        </w:rPr>
        <w:t xml:space="preserve">U 2023. godini </w:t>
      </w:r>
      <w:r w:rsidR="00831872">
        <w:rPr>
          <w:rStyle w:val="eop"/>
        </w:rPr>
        <w:t>realizirani</w:t>
      </w:r>
      <w:r>
        <w:rPr>
          <w:rStyle w:val="eop"/>
        </w:rPr>
        <w:t xml:space="preserve"> su</w:t>
      </w:r>
      <w:r w:rsidR="00831872">
        <w:rPr>
          <w:rStyle w:val="eop"/>
        </w:rPr>
        <w:t xml:space="preserve"> projekti konstruktivne obnove četiri kapitalna objekta</w:t>
      </w:r>
      <w:r>
        <w:rPr>
          <w:rStyle w:val="eop"/>
        </w:rPr>
        <w:t>:</w:t>
      </w:r>
      <w:r w:rsidR="00831872">
        <w:rPr>
          <w:rStyle w:val="eop"/>
        </w:rPr>
        <w:t xml:space="preserve"> zg</w:t>
      </w:r>
      <w:r w:rsidR="00831872" w:rsidRPr="00A74DE5">
        <w:rPr>
          <w:rStyle w:val="eop"/>
        </w:rPr>
        <w:t xml:space="preserve">rade KAMOD-a, </w:t>
      </w:r>
      <w:r>
        <w:rPr>
          <w:rStyle w:val="eop"/>
        </w:rPr>
        <w:t>gradskog</w:t>
      </w:r>
      <w:r w:rsidR="00831872" w:rsidRPr="00A74DE5">
        <w:rPr>
          <w:rStyle w:val="eop"/>
        </w:rPr>
        <w:t xml:space="preserve"> muzeja, </w:t>
      </w:r>
      <w:r w:rsidR="00831872">
        <w:rPr>
          <w:rStyle w:val="eop"/>
        </w:rPr>
        <w:t>zgrade gradske uprave</w:t>
      </w:r>
      <w:r w:rsidR="00831872" w:rsidRPr="00A74DE5">
        <w:rPr>
          <w:rStyle w:val="eop"/>
        </w:rPr>
        <w:t xml:space="preserve"> </w:t>
      </w:r>
      <w:r>
        <w:rPr>
          <w:rStyle w:val="eop"/>
        </w:rPr>
        <w:t xml:space="preserve">na Trgu bana Josipa Jelačića </w:t>
      </w:r>
      <w:r w:rsidR="00831872" w:rsidRPr="00A74DE5">
        <w:rPr>
          <w:rStyle w:val="eop"/>
        </w:rPr>
        <w:t xml:space="preserve">i </w:t>
      </w:r>
      <w:r>
        <w:rPr>
          <w:rStyle w:val="eop"/>
        </w:rPr>
        <w:t xml:space="preserve">rodne </w:t>
      </w:r>
      <w:r w:rsidR="00831872" w:rsidRPr="00A74DE5">
        <w:rPr>
          <w:rStyle w:val="eop"/>
        </w:rPr>
        <w:t>kuće Stjepana Mihalića na Gazi</w:t>
      </w:r>
      <w:r w:rsidR="00831872">
        <w:rPr>
          <w:rStyle w:val="eop"/>
        </w:rPr>
        <w:t xml:space="preserve">, dok je </w:t>
      </w:r>
      <w:r>
        <w:rPr>
          <w:rStyle w:val="eop"/>
        </w:rPr>
        <w:t>obnova</w:t>
      </w:r>
      <w:r w:rsidR="00831872">
        <w:rPr>
          <w:rStyle w:val="eop"/>
        </w:rPr>
        <w:t xml:space="preserve"> Hrvatsk</w:t>
      </w:r>
      <w:r>
        <w:rPr>
          <w:rStyle w:val="eop"/>
        </w:rPr>
        <w:t>og</w:t>
      </w:r>
      <w:r w:rsidR="00831872">
        <w:rPr>
          <w:rStyle w:val="eop"/>
        </w:rPr>
        <w:t xml:space="preserve"> dom</w:t>
      </w:r>
      <w:r>
        <w:rPr>
          <w:rStyle w:val="eop"/>
        </w:rPr>
        <w:t>a</w:t>
      </w:r>
      <w:r w:rsidR="00831872">
        <w:rPr>
          <w:rStyle w:val="eop"/>
        </w:rPr>
        <w:t xml:space="preserve"> još uvijek u tijeku. </w:t>
      </w:r>
      <w:r w:rsidR="00831872" w:rsidRPr="00A74DE5">
        <w:rPr>
          <w:rStyle w:val="eop"/>
        </w:rPr>
        <w:t xml:space="preserve">Ukupna vrijednost </w:t>
      </w:r>
      <w:r>
        <w:rPr>
          <w:rStyle w:val="eop"/>
        </w:rPr>
        <w:t xml:space="preserve">navedenih </w:t>
      </w:r>
      <w:r w:rsidR="00831872" w:rsidRPr="00A74DE5">
        <w:rPr>
          <w:rStyle w:val="eop"/>
        </w:rPr>
        <w:t>projekata</w:t>
      </w:r>
      <w:r>
        <w:rPr>
          <w:rStyle w:val="eop"/>
        </w:rPr>
        <w:t xml:space="preserve">, a koja se financira se iz Europskog Fonda solidarnosti </w:t>
      </w:r>
      <w:r>
        <w:rPr>
          <w:rStyle w:val="eop"/>
        </w:rPr>
        <w:lastRenderedPageBreak/>
        <w:t>i NPOO-a</w:t>
      </w:r>
      <w:r w:rsidRPr="00A74DE5">
        <w:rPr>
          <w:rStyle w:val="eop"/>
        </w:rPr>
        <w:t xml:space="preserve"> </w:t>
      </w:r>
      <w:r w:rsidR="00831872" w:rsidRPr="00A74DE5">
        <w:rPr>
          <w:rStyle w:val="eop"/>
        </w:rPr>
        <w:t xml:space="preserve">je </w:t>
      </w:r>
      <w:r w:rsidR="00831872">
        <w:rPr>
          <w:rStyle w:val="eop"/>
        </w:rPr>
        <w:t>gotovo 9,5</w:t>
      </w:r>
      <w:r w:rsidR="00831872" w:rsidRPr="00A74DE5">
        <w:rPr>
          <w:rStyle w:val="eop"/>
        </w:rPr>
        <w:t xml:space="preserve"> mil.</w:t>
      </w:r>
      <w:r w:rsidR="00634462">
        <w:rPr>
          <w:rStyle w:val="eop"/>
        </w:rPr>
        <w:t xml:space="preserve"> eura</w:t>
      </w:r>
      <w:r w:rsidR="00831872">
        <w:rPr>
          <w:rStyle w:val="eop"/>
        </w:rPr>
        <w:t xml:space="preserve">. </w:t>
      </w:r>
      <w:r w:rsidR="00634462">
        <w:rPr>
          <w:rStyle w:val="eop"/>
        </w:rPr>
        <w:t xml:space="preserve">Također, u pripremi je </w:t>
      </w:r>
      <w:r w:rsidR="00831872">
        <w:rPr>
          <w:rStyle w:val="eop"/>
        </w:rPr>
        <w:t>p</w:t>
      </w:r>
      <w:r w:rsidR="00831872" w:rsidRPr="00A74DE5">
        <w:rPr>
          <w:rStyle w:val="eop"/>
        </w:rPr>
        <w:t xml:space="preserve">rojektna dokumentacija </w:t>
      </w:r>
      <w:r w:rsidR="00831872">
        <w:rPr>
          <w:rStyle w:val="eop"/>
        </w:rPr>
        <w:t>za cjelovitu obnovu svih ovih objekata, uključujući zgradu O</w:t>
      </w:r>
      <w:r>
        <w:rPr>
          <w:rStyle w:val="eop"/>
        </w:rPr>
        <w:t>snovne škole</w:t>
      </w:r>
      <w:r w:rsidR="00831872">
        <w:rPr>
          <w:rStyle w:val="eop"/>
        </w:rPr>
        <w:t xml:space="preserve"> Dragojla Jarnević i u naredne dvije godine planiraju se završiti isključivo europskim novcem, a ukupna vrijednost tih projekata iznosi 26 mil. </w:t>
      </w:r>
      <w:r>
        <w:rPr>
          <w:rStyle w:val="eop"/>
        </w:rPr>
        <w:t>eura</w:t>
      </w:r>
      <w:r w:rsidR="00831872">
        <w:rPr>
          <w:rStyle w:val="eop"/>
        </w:rPr>
        <w:t>.</w:t>
      </w:r>
    </w:p>
    <w:p w14:paraId="3E6A9433" w14:textId="018140F6" w:rsidR="00831872" w:rsidRDefault="00634462" w:rsidP="00634462">
      <w:pPr>
        <w:ind w:firstLine="720"/>
        <w:jc w:val="both"/>
        <w:rPr>
          <w:rStyle w:val="eop"/>
        </w:rPr>
      </w:pPr>
      <w:r w:rsidRPr="00426CFF">
        <w:rPr>
          <w:color w:val="000000"/>
          <w:spacing w:val="-5"/>
        </w:rPr>
        <w:t>U 202</w:t>
      </w:r>
      <w:r>
        <w:rPr>
          <w:color w:val="000000"/>
          <w:spacing w:val="-5"/>
        </w:rPr>
        <w:t>4</w:t>
      </w:r>
      <w:r w:rsidRPr="00426CFF">
        <w:rPr>
          <w:color w:val="000000"/>
          <w:spacing w:val="-5"/>
        </w:rPr>
        <w:t>. nastavljaju se i drugi važni infrastrukturni komunalni projekti kao što su rekonstrukcije i uređenje prometnica, parkirališta,</w:t>
      </w:r>
      <w:r>
        <w:rPr>
          <w:color w:val="000000"/>
          <w:spacing w:val="-5"/>
        </w:rPr>
        <w:t xml:space="preserve"> dječjih igrališta, ulaganja u sportske objekte, </w:t>
      </w:r>
      <w:r w:rsidRPr="00426CFF">
        <w:rPr>
          <w:color w:val="000000"/>
          <w:spacing w:val="-5"/>
        </w:rPr>
        <w:t>asfaltiranj</w:t>
      </w:r>
      <w:r>
        <w:rPr>
          <w:color w:val="000000"/>
          <w:spacing w:val="-5"/>
        </w:rPr>
        <w:t>a</w:t>
      </w:r>
      <w:r w:rsidRPr="00426CFF">
        <w:rPr>
          <w:color w:val="000000"/>
          <w:spacing w:val="-5"/>
        </w:rPr>
        <w:t xml:space="preserve"> makadamskih cesta, </w:t>
      </w:r>
      <w:r>
        <w:rPr>
          <w:color w:val="000000"/>
          <w:spacing w:val="-5"/>
        </w:rPr>
        <w:t xml:space="preserve">a </w:t>
      </w:r>
      <w:r w:rsidRPr="00426CFF">
        <w:rPr>
          <w:color w:val="000000"/>
          <w:spacing w:val="-5"/>
        </w:rPr>
        <w:t>podrazumijeva se i redovno održavanje komunalne infrastrukture u funkcionalnom stanju.</w:t>
      </w:r>
      <w:r>
        <w:rPr>
          <w:color w:val="000000"/>
          <w:spacing w:val="-5"/>
        </w:rPr>
        <w:t xml:space="preserve"> Budući da je nedostatak mjesta u vrtićima svake godine sve veći, Grad Karlovac se kandidirao za sredstva iz Nacionalnog programa oporavka i otpornosti i ostvario sredstva u </w:t>
      </w:r>
      <w:r w:rsidR="004E6F31">
        <w:rPr>
          <w:color w:val="000000"/>
          <w:spacing w:val="-5"/>
        </w:rPr>
        <w:t>iznosu</w:t>
      </w:r>
      <w:r>
        <w:rPr>
          <w:color w:val="000000"/>
          <w:spacing w:val="-5"/>
        </w:rPr>
        <w:t xml:space="preserve"> od 2,46 mil. eura. </w:t>
      </w:r>
      <w:r w:rsidR="004E6F31">
        <w:rPr>
          <w:color w:val="000000"/>
          <w:spacing w:val="-5"/>
        </w:rPr>
        <w:t>U 2024. godini planira se završetak</w:t>
      </w:r>
      <w:r>
        <w:rPr>
          <w:color w:val="000000"/>
          <w:spacing w:val="-5"/>
        </w:rPr>
        <w:t xml:space="preserve"> projekt</w:t>
      </w:r>
      <w:r w:rsidR="004E6F31">
        <w:rPr>
          <w:color w:val="000000"/>
          <w:spacing w:val="-5"/>
        </w:rPr>
        <w:t>a</w:t>
      </w:r>
      <w:r>
        <w:rPr>
          <w:color w:val="000000"/>
          <w:spacing w:val="-5"/>
        </w:rPr>
        <w:t xml:space="preserve"> izgradnje  </w:t>
      </w:r>
      <w:r w:rsidR="004E6F31">
        <w:rPr>
          <w:color w:val="000000"/>
          <w:spacing w:val="-5"/>
        </w:rPr>
        <w:t xml:space="preserve">dječjeg </w:t>
      </w:r>
      <w:r>
        <w:rPr>
          <w:rStyle w:val="eop"/>
        </w:rPr>
        <w:t>vrtića Rečica, a istovremeno će početi radovi na novom vrtiću Luščić</w:t>
      </w:r>
      <w:r w:rsidR="004E6F31">
        <w:rPr>
          <w:rStyle w:val="eop"/>
        </w:rPr>
        <w:t>, a ukupna v</w:t>
      </w:r>
      <w:r>
        <w:rPr>
          <w:rStyle w:val="eop"/>
        </w:rPr>
        <w:t xml:space="preserve">rijednost navedenih projekata je </w:t>
      </w:r>
      <w:r w:rsidR="00831872">
        <w:rPr>
          <w:rStyle w:val="eop"/>
        </w:rPr>
        <w:t>oko 9,2 mil.</w:t>
      </w:r>
      <w:r>
        <w:rPr>
          <w:rStyle w:val="eop"/>
        </w:rPr>
        <w:t xml:space="preserve"> eura</w:t>
      </w:r>
      <w:r w:rsidR="00831872">
        <w:rPr>
          <w:rStyle w:val="eop"/>
        </w:rPr>
        <w:t xml:space="preserve">. </w:t>
      </w:r>
    </w:p>
    <w:p w14:paraId="19C430E9" w14:textId="1E365682" w:rsidR="00831872" w:rsidRDefault="00895706" w:rsidP="00895706">
      <w:pPr>
        <w:ind w:firstLine="720"/>
        <w:jc w:val="both"/>
        <w:rPr>
          <w:rStyle w:val="eop"/>
        </w:rPr>
      </w:pPr>
      <w:r>
        <w:rPr>
          <w:rStyle w:val="eop"/>
        </w:rPr>
        <w:t>U narednom proračunskom razdoblju 202</w:t>
      </w:r>
      <w:r w:rsidR="00727969">
        <w:rPr>
          <w:rStyle w:val="eop"/>
        </w:rPr>
        <w:t>4</w:t>
      </w:r>
      <w:r>
        <w:rPr>
          <w:rStyle w:val="eop"/>
        </w:rPr>
        <w:t>. -202</w:t>
      </w:r>
      <w:r w:rsidR="00727969">
        <w:rPr>
          <w:rStyle w:val="eop"/>
        </w:rPr>
        <w:t>6</w:t>
      </w:r>
      <w:r>
        <w:rPr>
          <w:rStyle w:val="eop"/>
        </w:rPr>
        <w:t xml:space="preserve">. planirana je </w:t>
      </w:r>
      <w:r w:rsidR="00831872">
        <w:rPr>
          <w:rStyle w:val="eop"/>
        </w:rPr>
        <w:t>obnov</w:t>
      </w:r>
      <w:r>
        <w:rPr>
          <w:rStyle w:val="eop"/>
        </w:rPr>
        <w:t>a</w:t>
      </w:r>
      <w:r w:rsidR="00831872">
        <w:rPr>
          <w:rStyle w:val="eop"/>
        </w:rPr>
        <w:t xml:space="preserve"> Trga bana Josipa Jelačića s izgradnjom obilaznice Zvijezde, izgradnj</w:t>
      </w:r>
      <w:r>
        <w:rPr>
          <w:rStyle w:val="eop"/>
        </w:rPr>
        <w:t>a</w:t>
      </w:r>
      <w:r w:rsidR="00831872">
        <w:rPr>
          <w:rStyle w:val="eop"/>
        </w:rPr>
        <w:t xml:space="preserve"> parka Grabrik </w:t>
      </w:r>
      <w:r>
        <w:rPr>
          <w:rStyle w:val="eop"/>
        </w:rPr>
        <w:t>kao</w:t>
      </w:r>
      <w:r w:rsidR="00831872">
        <w:rPr>
          <w:rStyle w:val="eop"/>
        </w:rPr>
        <w:t xml:space="preserve"> dio razvoja biciklističke infrastrukture s prometnicom u bivšoj vojarni u Luščiću, ulaganje u Stari grad Dubovac </w:t>
      </w:r>
      <w:r>
        <w:rPr>
          <w:rStyle w:val="eop"/>
        </w:rPr>
        <w:t>te</w:t>
      </w:r>
      <w:r w:rsidR="00831872">
        <w:rPr>
          <w:rStyle w:val="eop"/>
        </w:rPr>
        <w:t xml:space="preserve"> obnov</w:t>
      </w:r>
      <w:r>
        <w:rPr>
          <w:rStyle w:val="eop"/>
        </w:rPr>
        <w:t>a</w:t>
      </w:r>
      <w:r w:rsidR="00831872">
        <w:rPr>
          <w:rStyle w:val="eop"/>
        </w:rPr>
        <w:t xml:space="preserve"> Bosanskog magazina koj</w:t>
      </w:r>
      <w:r w:rsidR="00727969">
        <w:rPr>
          <w:rStyle w:val="eop"/>
        </w:rPr>
        <w:t>u</w:t>
      </w:r>
      <w:r w:rsidR="00831872">
        <w:rPr>
          <w:rStyle w:val="eop"/>
        </w:rPr>
        <w:t xml:space="preserve"> će provoditi Veleučilište Karlovac</w:t>
      </w:r>
      <w:r>
        <w:rPr>
          <w:rStyle w:val="eop"/>
        </w:rPr>
        <w:t>.</w:t>
      </w:r>
      <w:r w:rsidR="00831872">
        <w:rPr>
          <w:rStyle w:val="eop"/>
        </w:rPr>
        <w:t xml:space="preserve"> </w:t>
      </w:r>
    </w:p>
    <w:p w14:paraId="0FDF6125" w14:textId="2C634226" w:rsidR="00895706" w:rsidRDefault="00895706" w:rsidP="00895706">
      <w:pPr>
        <w:pStyle w:val="paragraph"/>
        <w:ind w:firstLine="705"/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Grad </w:t>
      </w:r>
      <w:r w:rsidR="004E6F31">
        <w:rPr>
          <w:rStyle w:val="normaltextrun1"/>
        </w:rPr>
        <w:t xml:space="preserve">Karlovac </w:t>
      </w:r>
      <w:r>
        <w:rPr>
          <w:rStyle w:val="normaltextrun1"/>
        </w:rPr>
        <w:t>zajedno s Ministarstvom</w:t>
      </w:r>
      <w:r w:rsidR="004E6F31">
        <w:rPr>
          <w:rStyle w:val="normaltextrun1"/>
        </w:rPr>
        <w:t xml:space="preserve"> znanosti i</w:t>
      </w:r>
      <w:r>
        <w:rPr>
          <w:rStyle w:val="normaltextrun1"/>
        </w:rPr>
        <w:t xml:space="preserve"> obrazovanja </w:t>
      </w:r>
      <w:r w:rsidR="00584403">
        <w:rPr>
          <w:rStyle w:val="normaltextrun1"/>
        </w:rPr>
        <w:t xml:space="preserve">za </w:t>
      </w:r>
      <w:r>
        <w:rPr>
          <w:rStyle w:val="normaltextrun1"/>
        </w:rPr>
        <w:t xml:space="preserve">predškolski odgoj </w:t>
      </w:r>
      <w:r w:rsidRPr="00A74DE5">
        <w:rPr>
          <w:rStyle w:val="normaltextrun1"/>
        </w:rPr>
        <w:t xml:space="preserve">izdvaja </w:t>
      </w:r>
      <w:r>
        <w:rPr>
          <w:rStyle w:val="normaltextrun1"/>
        </w:rPr>
        <w:t>preko 4</w:t>
      </w:r>
      <w:r w:rsidRPr="00A74DE5">
        <w:rPr>
          <w:rStyle w:val="normaltextrun1"/>
        </w:rPr>
        <w:t xml:space="preserve"> mil</w:t>
      </w:r>
      <w:r>
        <w:rPr>
          <w:rStyle w:val="normaltextrun1"/>
        </w:rPr>
        <w:t xml:space="preserve">. eura pri čemu </w:t>
      </w:r>
      <w:r w:rsidRPr="00A74DE5">
        <w:rPr>
          <w:rStyle w:val="normaltextrun1"/>
        </w:rPr>
        <w:t xml:space="preserve">sufinancira smještaj djece kod dadilja </w:t>
      </w:r>
      <w:r>
        <w:rPr>
          <w:rStyle w:val="normaltextrun1"/>
        </w:rPr>
        <w:t xml:space="preserve">te </w:t>
      </w:r>
      <w:r w:rsidRPr="00A74DE5">
        <w:rPr>
          <w:rStyle w:val="normaltextrun1"/>
        </w:rPr>
        <w:t>u privatn</w:t>
      </w:r>
      <w:r>
        <w:rPr>
          <w:rStyle w:val="normaltextrun1"/>
        </w:rPr>
        <w:t xml:space="preserve">im vrtićima. Također, financiraju se različite aktivnosti u obrazovanju </w:t>
      </w:r>
      <w:r w:rsidR="00584403">
        <w:rPr>
          <w:rStyle w:val="normaltextrun1"/>
        </w:rPr>
        <w:t xml:space="preserve">kao što su </w:t>
      </w:r>
      <w:r>
        <w:rPr>
          <w:rStyle w:val="normaltextrun1"/>
        </w:rPr>
        <w:t>produženi boravak, pomoćnici u nastavi</w:t>
      </w:r>
      <w:r w:rsidR="00584403">
        <w:rPr>
          <w:rStyle w:val="normaltextrun1"/>
        </w:rPr>
        <w:t xml:space="preserve">, nabava </w:t>
      </w:r>
      <w:r w:rsidR="009A1853">
        <w:rPr>
          <w:rStyle w:val="normaltextrun1"/>
        </w:rPr>
        <w:t xml:space="preserve">udžbenika i </w:t>
      </w:r>
      <w:r w:rsidR="00584403">
        <w:rPr>
          <w:rStyle w:val="normaltextrun1"/>
        </w:rPr>
        <w:t>obrazovnog materijala za sve osnovnoškolce.</w:t>
      </w:r>
    </w:p>
    <w:p w14:paraId="455326AA" w14:textId="30D1D5F1" w:rsidR="00C408A1" w:rsidRDefault="00C408A1" w:rsidP="00C408A1">
      <w:pPr>
        <w:pStyle w:val="paragraph"/>
        <w:ind w:firstLine="705"/>
        <w:jc w:val="both"/>
        <w:textAlignment w:val="baseline"/>
      </w:pPr>
      <w:r>
        <w:rPr>
          <w:rStyle w:val="normaltextrun1"/>
        </w:rPr>
        <w:t xml:space="preserve">I naredne godine nastavljaju se </w:t>
      </w:r>
      <w:r w:rsidRPr="00A74DE5">
        <w:rPr>
          <w:rStyle w:val="normaltextrun1"/>
        </w:rPr>
        <w:t>program</w:t>
      </w:r>
      <w:r>
        <w:rPr>
          <w:rStyle w:val="normaltextrun1"/>
        </w:rPr>
        <w:t>i</w:t>
      </w:r>
      <w:r w:rsidRPr="00A74DE5">
        <w:rPr>
          <w:rStyle w:val="normaltextrun1"/>
        </w:rPr>
        <w:t xml:space="preserve"> namijenjeni obiteljima s djecom s ciljem podržavanja obitelji i unaprjeđenja kvalitete odgoja i obrazovanja djece. </w:t>
      </w:r>
      <w:r>
        <w:rPr>
          <w:rStyle w:val="normaltextrun1"/>
        </w:rPr>
        <w:t>Povećava se pomoć za novorođenčad, pojačano se subvencionira smještaj djece u vrtićima za obitelji s troje i više djece, financira se nabava udžbenika i obrazovnog materijala, financira se prehrana učenika u školama, stipendira se učenike i studente, a subvencionira se prijevoz srednjoškolaca i studenata, kao i studentska prehrana.</w:t>
      </w:r>
      <w:r w:rsidRPr="00A74DE5">
        <w:rPr>
          <w:rStyle w:val="eop"/>
        </w:rPr>
        <w:t> </w:t>
      </w:r>
    </w:p>
    <w:p w14:paraId="01E8ADF0" w14:textId="77777777" w:rsidR="004E6F31" w:rsidRDefault="004E6F31" w:rsidP="00C408A1">
      <w:pPr>
        <w:pStyle w:val="paragraph"/>
        <w:jc w:val="both"/>
        <w:textAlignment w:val="baseline"/>
        <w:rPr>
          <w:rStyle w:val="normaltextrun1"/>
        </w:rPr>
      </w:pPr>
    </w:p>
    <w:p w14:paraId="049C4EEE" w14:textId="77777777" w:rsidR="002D465A" w:rsidRDefault="002D465A" w:rsidP="009D3AE5">
      <w:pPr>
        <w:autoSpaceDE w:val="0"/>
        <w:autoSpaceDN w:val="0"/>
        <w:adjustRightInd w:val="0"/>
        <w:jc w:val="both"/>
        <w:rPr>
          <w:highlight w:val="yellow"/>
        </w:rPr>
      </w:pPr>
    </w:p>
    <w:p w14:paraId="35B0D225" w14:textId="53145E44" w:rsidR="00837495" w:rsidRDefault="00837495" w:rsidP="009D3AE5">
      <w:pPr>
        <w:autoSpaceDE w:val="0"/>
        <w:autoSpaceDN w:val="0"/>
        <w:adjustRightInd w:val="0"/>
        <w:jc w:val="both"/>
      </w:pPr>
    </w:p>
    <w:p w14:paraId="7EC1F8CF" w14:textId="72730AAB" w:rsidR="00837495" w:rsidRDefault="00837495" w:rsidP="009D3AE5">
      <w:pPr>
        <w:autoSpaceDE w:val="0"/>
        <w:autoSpaceDN w:val="0"/>
        <w:adjustRightInd w:val="0"/>
        <w:jc w:val="both"/>
      </w:pPr>
    </w:p>
    <w:p w14:paraId="1BE39582" w14:textId="77777777" w:rsidR="00DB4704" w:rsidRDefault="00DB4704">
      <w:pPr>
        <w:rPr>
          <w:b/>
        </w:rPr>
      </w:pPr>
      <w:r>
        <w:rPr>
          <w:b/>
        </w:rPr>
        <w:br w:type="page"/>
      </w:r>
    </w:p>
    <w:p w14:paraId="131446AF" w14:textId="16F3A3E7" w:rsidR="00A41BF1" w:rsidRDefault="007D7D5B" w:rsidP="007613FD">
      <w:pPr>
        <w:jc w:val="both"/>
      </w:pPr>
      <w:r>
        <w:rPr>
          <w:b/>
        </w:rPr>
        <w:lastRenderedPageBreak/>
        <w:t>PRORAČUN GRADA KARLOVCA ZA 202</w:t>
      </w:r>
      <w:r w:rsidR="00B211F7">
        <w:rPr>
          <w:b/>
        </w:rPr>
        <w:t>4</w:t>
      </w:r>
      <w:r>
        <w:rPr>
          <w:b/>
        </w:rPr>
        <w:t>. GODINU I PROJEKCIJE ZA 202</w:t>
      </w:r>
      <w:r w:rsidR="00B211F7">
        <w:rPr>
          <w:b/>
        </w:rPr>
        <w:t>5</w:t>
      </w:r>
      <w:r>
        <w:rPr>
          <w:b/>
        </w:rPr>
        <w:t>. I 202</w:t>
      </w:r>
      <w:r w:rsidR="00B211F7">
        <w:rPr>
          <w:b/>
        </w:rPr>
        <w:t>6</w:t>
      </w:r>
      <w:r>
        <w:rPr>
          <w:b/>
        </w:rPr>
        <w:t>. GODINU</w:t>
      </w:r>
    </w:p>
    <w:p w14:paraId="0BE858E1" w14:textId="77777777" w:rsidR="00A41BF1" w:rsidRDefault="00A41BF1" w:rsidP="007613FD">
      <w:pPr>
        <w:ind w:firstLine="708"/>
        <w:jc w:val="both"/>
      </w:pPr>
    </w:p>
    <w:p w14:paraId="6BA67725" w14:textId="2936ACB4" w:rsidR="00A41BF1" w:rsidRDefault="007D7D5B" w:rsidP="007613FD">
      <w:pPr>
        <w:ind w:firstLine="708"/>
        <w:jc w:val="both"/>
      </w:pPr>
      <w:r>
        <w:t>Prijedlog proračuna Grada Karlovca za 202</w:t>
      </w:r>
      <w:r w:rsidR="00B211F7">
        <w:t>4</w:t>
      </w:r>
      <w:r>
        <w:t xml:space="preserve">. godinu utvrđen je u iznosu od </w:t>
      </w:r>
      <w:r w:rsidR="005763DE">
        <w:t>95.</w:t>
      </w:r>
      <w:r w:rsidR="0073709A">
        <w:t>249.310</w:t>
      </w:r>
      <w:r w:rsidR="0034139B">
        <w:t xml:space="preserve"> eura</w:t>
      </w:r>
      <w:r>
        <w:t xml:space="preserve"> što predstavlja povećanje od </w:t>
      </w:r>
      <w:r w:rsidR="005763DE">
        <w:t>1</w:t>
      </w:r>
      <w:r w:rsidR="006965DD">
        <w:t>3,</w:t>
      </w:r>
      <w:r w:rsidR="0073709A">
        <w:t>4</w:t>
      </w:r>
      <w:r>
        <w:t xml:space="preserve"> mil</w:t>
      </w:r>
      <w:r w:rsidR="0013426D">
        <w:t>. eura</w:t>
      </w:r>
      <w:r>
        <w:t xml:space="preserve"> u odnosu na iznos proračuna utvrđen</w:t>
      </w:r>
      <w:r w:rsidR="00770888">
        <w:t xml:space="preserve"> </w:t>
      </w:r>
      <w:r w:rsidR="005763DE">
        <w:t>D</w:t>
      </w:r>
      <w:r w:rsidR="00770888">
        <w:t xml:space="preserve">rugim </w:t>
      </w:r>
      <w:r w:rsidR="005763DE">
        <w:t>i</w:t>
      </w:r>
      <w:r>
        <w:t>zmjenama i dopunama proračuna Grada Karlovca za 20</w:t>
      </w:r>
      <w:r w:rsidR="005B7CF4">
        <w:t>2</w:t>
      </w:r>
      <w:r w:rsidR="005763DE">
        <w:t>3</w:t>
      </w:r>
      <w:r>
        <w:t xml:space="preserve">. godinu. </w:t>
      </w:r>
      <w:r w:rsidRPr="007839C7">
        <w:t>Prijedlog proračuna za 202</w:t>
      </w:r>
      <w:r w:rsidR="005763DE">
        <w:t>5</w:t>
      </w:r>
      <w:r w:rsidRPr="007839C7">
        <w:t>. godinu projiciran je u iznosu od</w:t>
      </w:r>
      <w:r w:rsidR="00411B6C">
        <w:t xml:space="preserve"> </w:t>
      </w:r>
      <w:r w:rsidR="005763DE">
        <w:t>88.741.687</w:t>
      </w:r>
      <w:r w:rsidR="00411B6C">
        <w:t xml:space="preserve"> eura</w:t>
      </w:r>
      <w:r w:rsidRPr="007839C7">
        <w:t>, a za 202</w:t>
      </w:r>
      <w:r w:rsidR="005763DE">
        <w:t>6</w:t>
      </w:r>
      <w:r w:rsidRPr="007839C7">
        <w:t xml:space="preserve">. godinu u iznosu od </w:t>
      </w:r>
      <w:r w:rsidR="005763DE">
        <w:t>69.301.367</w:t>
      </w:r>
      <w:r w:rsidR="00411B6C">
        <w:t xml:space="preserve"> eura</w:t>
      </w:r>
      <w:r w:rsidRPr="007839C7">
        <w:t>.</w:t>
      </w:r>
    </w:p>
    <w:p w14:paraId="5204FA74" w14:textId="77777777" w:rsidR="00B36A42" w:rsidRDefault="00B36A42" w:rsidP="007613FD">
      <w:pPr>
        <w:ind w:firstLine="708"/>
        <w:jc w:val="both"/>
      </w:pPr>
    </w:p>
    <w:p w14:paraId="60EB14F9" w14:textId="565964D9" w:rsidR="00A41BF1" w:rsidRDefault="007D7D5B" w:rsidP="007613FD">
      <w:pPr>
        <w:jc w:val="both"/>
        <w:rPr>
          <w:b/>
        </w:rPr>
      </w:pPr>
      <w:r w:rsidRPr="00206A92">
        <w:rPr>
          <w:b/>
        </w:rPr>
        <w:t xml:space="preserve">Tablica </w:t>
      </w:r>
      <w:r w:rsidR="00EA0373">
        <w:rPr>
          <w:b/>
        </w:rPr>
        <w:t>2</w:t>
      </w:r>
      <w:r w:rsidRPr="00206A92">
        <w:rPr>
          <w:b/>
        </w:rPr>
        <w:t>. Struktura proračuna za razdoblje 202</w:t>
      </w:r>
      <w:r w:rsidR="0088095C">
        <w:rPr>
          <w:b/>
        </w:rPr>
        <w:t>4</w:t>
      </w:r>
      <w:r w:rsidRPr="00206A92">
        <w:rPr>
          <w:b/>
        </w:rPr>
        <w:t>.-202</w:t>
      </w:r>
      <w:r w:rsidR="0088095C">
        <w:rPr>
          <w:b/>
        </w:rPr>
        <w:t>6</w:t>
      </w:r>
      <w:r w:rsidRPr="00206A92">
        <w:rPr>
          <w:b/>
        </w:rPr>
        <w:t>. godine prema osnovnoj klasifikaciji</w:t>
      </w:r>
      <w:r>
        <w:rPr>
          <w:b/>
        </w:rPr>
        <w:t xml:space="preserve"> </w:t>
      </w:r>
    </w:p>
    <w:p w14:paraId="790BC3DF" w14:textId="3076C4B1" w:rsidR="001C6E4C" w:rsidRDefault="001C6E4C" w:rsidP="007613FD">
      <w:pPr>
        <w:jc w:val="both"/>
        <w:rPr>
          <w:b/>
        </w:rPr>
      </w:pPr>
    </w:p>
    <w:p w14:paraId="21C11852" w14:textId="44AE677A" w:rsidR="00714B19" w:rsidRDefault="0073709A" w:rsidP="00734BAA">
      <w:pPr>
        <w:rPr>
          <w:b/>
        </w:rPr>
      </w:pPr>
      <w:r w:rsidRPr="0073709A">
        <w:rPr>
          <w:noProof/>
        </w:rPr>
        <w:drawing>
          <wp:inline distT="0" distB="0" distL="0" distR="0" wp14:anchorId="6420831B" wp14:editId="0D3C9CA9">
            <wp:extent cx="5759450" cy="2727325"/>
            <wp:effectExtent l="0" t="0" r="0" b="0"/>
            <wp:docPr id="2142979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B6EB" w14:textId="791F0B1B" w:rsidR="00B36A42" w:rsidRDefault="00B36A42" w:rsidP="007613FD">
      <w:pPr>
        <w:jc w:val="both"/>
      </w:pPr>
    </w:p>
    <w:p w14:paraId="359079B0" w14:textId="1F1FB4FC" w:rsidR="00A41BF1" w:rsidRDefault="0073709A" w:rsidP="007613FD">
      <w:pPr>
        <w:jc w:val="both"/>
      </w:pPr>
      <w:r w:rsidRPr="0073709A">
        <w:rPr>
          <w:noProof/>
        </w:rPr>
        <w:drawing>
          <wp:inline distT="0" distB="0" distL="0" distR="0" wp14:anchorId="15FD9AF3" wp14:editId="6A176805">
            <wp:extent cx="5759450" cy="1032510"/>
            <wp:effectExtent l="0" t="0" r="0" b="0"/>
            <wp:docPr id="3468396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A67F" w14:textId="77777777" w:rsidR="0073709A" w:rsidRDefault="0073709A" w:rsidP="007613FD">
      <w:pPr>
        <w:jc w:val="both"/>
      </w:pPr>
    </w:p>
    <w:p w14:paraId="48469A31" w14:textId="6388C4E4" w:rsidR="0073709A" w:rsidRDefault="0073709A" w:rsidP="007613FD">
      <w:pPr>
        <w:jc w:val="both"/>
      </w:pPr>
      <w:r w:rsidRPr="0073709A">
        <w:rPr>
          <w:noProof/>
        </w:rPr>
        <w:drawing>
          <wp:inline distT="0" distB="0" distL="0" distR="0" wp14:anchorId="525F357D" wp14:editId="4BC50C5B">
            <wp:extent cx="5759450" cy="2105660"/>
            <wp:effectExtent l="0" t="0" r="0" b="8890"/>
            <wp:docPr id="2507777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17A1" w14:textId="240B085F" w:rsidR="00A41BF1" w:rsidRDefault="00A41BF1" w:rsidP="007613FD">
      <w:pPr>
        <w:jc w:val="both"/>
      </w:pPr>
    </w:p>
    <w:p w14:paraId="48E41371" w14:textId="68A43EC4" w:rsidR="00A41BF1" w:rsidRDefault="007D7D5B" w:rsidP="007613FD">
      <w:r>
        <w:t>U nastavku se obrazlaže Opći i Posebni dio Proračuna za 202</w:t>
      </w:r>
      <w:r w:rsidR="005763DE">
        <w:t>4</w:t>
      </w:r>
      <w:r>
        <w:t>. godinu.</w:t>
      </w:r>
    </w:p>
    <w:p w14:paraId="70CAA1A7" w14:textId="77777777" w:rsidR="00A41BF1" w:rsidRDefault="00A41BF1" w:rsidP="007613FD"/>
    <w:p w14:paraId="55AA980A" w14:textId="77777777" w:rsidR="00DB4704" w:rsidRDefault="00DB4704" w:rsidP="007613FD"/>
    <w:p w14:paraId="28A86813" w14:textId="77777777" w:rsidR="00A41BF1" w:rsidRPr="004F2672" w:rsidRDefault="007D7D5B" w:rsidP="007613FD">
      <w:pPr>
        <w:pStyle w:val="Heading1"/>
        <w:spacing w:before="0" w:after="0"/>
      </w:pPr>
      <w:r w:rsidRPr="004F2672">
        <w:lastRenderedPageBreak/>
        <w:t>PRIHODI I PRIMICI PRORAČUNA</w:t>
      </w:r>
    </w:p>
    <w:p w14:paraId="5FAD63A9" w14:textId="77777777" w:rsidR="00A41BF1" w:rsidRDefault="00A41BF1" w:rsidP="007613FD">
      <w:pPr>
        <w:jc w:val="both"/>
        <w:rPr>
          <w:u w:val="single"/>
        </w:rPr>
      </w:pPr>
    </w:p>
    <w:p w14:paraId="4E0383C4" w14:textId="33E39412" w:rsidR="003D1AFE" w:rsidRPr="007E1001" w:rsidRDefault="003D1AFE" w:rsidP="007613FD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CF79DD">
        <w:rPr>
          <w:bCs/>
        </w:rPr>
        <w:t>Prijedlogom Pror</w:t>
      </w:r>
      <w:r>
        <w:rPr>
          <w:bCs/>
        </w:rPr>
        <w:t>ačuna Grada Karlovca za 202</w:t>
      </w:r>
      <w:r w:rsidR="003536EA">
        <w:rPr>
          <w:bCs/>
        </w:rPr>
        <w:t>4</w:t>
      </w:r>
      <w:r w:rsidRPr="00CF79DD">
        <w:rPr>
          <w:bCs/>
        </w:rPr>
        <w:t xml:space="preserve">. godinu ukupni prihodi i primici planirani su u iznosu od </w:t>
      </w:r>
      <w:r w:rsidR="0073709A">
        <w:rPr>
          <w:bCs/>
        </w:rPr>
        <w:t>95.249.310</w:t>
      </w:r>
      <w:r w:rsidR="00BC7449">
        <w:rPr>
          <w:bCs/>
        </w:rPr>
        <w:t xml:space="preserve"> eura</w:t>
      </w:r>
      <w:r w:rsidRPr="00CF79DD">
        <w:rPr>
          <w:bCs/>
        </w:rPr>
        <w:t xml:space="preserve">, što je </w:t>
      </w:r>
      <w:r w:rsidRPr="00601A3F">
        <w:rPr>
          <w:bCs/>
        </w:rPr>
        <w:t xml:space="preserve">za </w:t>
      </w:r>
      <w:r w:rsidR="003536EA">
        <w:rPr>
          <w:bCs/>
        </w:rPr>
        <w:t>1</w:t>
      </w:r>
      <w:r w:rsidR="002231D0" w:rsidRPr="00601A3F">
        <w:rPr>
          <w:bCs/>
        </w:rPr>
        <w:t>3,</w:t>
      </w:r>
      <w:r w:rsidR="0073709A">
        <w:rPr>
          <w:bCs/>
        </w:rPr>
        <w:t>4</w:t>
      </w:r>
      <w:r w:rsidRPr="00601A3F">
        <w:rPr>
          <w:bCs/>
        </w:rPr>
        <w:t xml:space="preserve"> mil. </w:t>
      </w:r>
      <w:r w:rsidR="002231D0" w:rsidRPr="00601A3F">
        <w:rPr>
          <w:bCs/>
        </w:rPr>
        <w:t>eura</w:t>
      </w:r>
      <w:r w:rsidRPr="00601A3F">
        <w:rPr>
          <w:bCs/>
        </w:rPr>
        <w:t xml:space="preserve"> više</w:t>
      </w:r>
      <w:r w:rsidRPr="00CF79DD">
        <w:rPr>
          <w:bCs/>
        </w:rPr>
        <w:t xml:space="preserve"> u odnosu na planirane prihode i pr</w:t>
      </w:r>
      <w:r>
        <w:rPr>
          <w:bCs/>
        </w:rPr>
        <w:t>imitke u proračunu grada za 20</w:t>
      </w:r>
      <w:r w:rsidR="009C0EBD">
        <w:rPr>
          <w:bCs/>
        </w:rPr>
        <w:t>2</w:t>
      </w:r>
      <w:r w:rsidR="003536EA">
        <w:rPr>
          <w:bCs/>
        </w:rPr>
        <w:t>3</w:t>
      </w:r>
      <w:r w:rsidRPr="00CF79DD">
        <w:rPr>
          <w:bCs/>
        </w:rPr>
        <w:t>.</w:t>
      </w:r>
      <w:r>
        <w:rPr>
          <w:bCs/>
        </w:rPr>
        <w:t xml:space="preserve"> g</w:t>
      </w:r>
      <w:r w:rsidRPr="00CF79DD">
        <w:rPr>
          <w:bCs/>
        </w:rPr>
        <w:t>odinu</w:t>
      </w:r>
      <w:r>
        <w:rPr>
          <w:b/>
          <w:bCs/>
        </w:rPr>
        <w:t>.</w:t>
      </w:r>
      <w:r w:rsidR="007E1001">
        <w:rPr>
          <w:b/>
          <w:bCs/>
        </w:rPr>
        <w:t xml:space="preserve"> </w:t>
      </w:r>
    </w:p>
    <w:p w14:paraId="77E2D56F" w14:textId="75867FE7" w:rsidR="003D1AFE" w:rsidRDefault="003D1AFE" w:rsidP="007613FD">
      <w:pPr>
        <w:ind w:firstLine="708"/>
        <w:jc w:val="both"/>
      </w:pPr>
      <w:r w:rsidRPr="00AB7AF9">
        <w:t xml:space="preserve">Od ukupno planiranih prihoda, prihodi Grada Karlovca iznose </w:t>
      </w:r>
      <w:r w:rsidR="00C80F9B">
        <w:t>77.</w:t>
      </w:r>
      <w:r w:rsidR="007F2442">
        <w:t>666</w:t>
      </w:r>
      <w:r w:rsidR="00C80F9B">
        <w:t>.</w:t>
      </w:r>
      <w:r w:rsidR="007F2442">
        <w:t>232</w:t>
      </w:r>
      <w:r w:rsidR="001520E6">
        <w:t xml:space="preserve"> </w:t>
      </w:r>
      <w:r w:rsidR="00972E1B">
        <w:t>eura</w:t>
      </w:r>
      <w:r w:rsidRPr="00AB7AF9">
        <w:t xml:space="preserve"> ili </w:t>
      </w:r>
      <w:r w:rsidR="0017267C">
        <w:t>81,</w:t>
      </w:r>
      <w:r w:rsidR="00C80F9B">
        <w:t>5</w:t>
      </w:r>
      <w:r w:rsidR="007F2442">
        <w:t>4</w:t>
      </w:r>
      <w:r w:rsidRPr="00AB7AF9">
        <w:t>% sveukupno konsolidiranih prihoda proračuna grada, a planirani vlastiti i ostali prihodi prora</w:t>
      </w:r>
      <w:r w:rsidRPr="00AB7AF9">
        <w:rPr>
          <w:rFonts w:eastAsia="TimesNewRoman"/>
        </w:rPr>
        <w:t>č</w:t>
      </w:r>
      <w:r w:rsidRPr="00AB7AF9">
        <w:t xml:space="preserve">unskih korisnika iznose </w:t>
      </w:r>
      <w:r w:rsidR="00C80F9B">
        <w:t>17.583.078</w:t>
      </w:r>
      <w:r w:rsidR="001520E6">
        <w:t xml:space="preserve"> </w:t>
      </w:r>
      <w:r w:rsidR="00994C7A">
        <w:t>eura</w:t>
      </w:r>
      <w:r w:rsidRPr="00AB7AF9">
        <w:t xml:space="preserve"> ili </w:t>
      </w:r>
      <w:r w:rsidR="00E83544">
        <w:t>18,</w:t>
      </w:r>
      <w:r w:rsidR="00C80F9B">
        <w:t>4</w:t>
      </w:r>
      <w:r w:rsidR="007F2442">
        <w:t>6</w:t>
      </w:r>
      <w:r w:rsidRPr="00AB7AF9">
        <w:t>% ukupnih prihoda</w:t>
      </w:r>
      <w:r>
        <w:t xml:space="preserve"> s uključenim prihodima od Ministarstva obrazovanja za plaće zaposlenih u osnovnim školama</w:t>
      </w:r>
      <w:r w:rsidR="0092705A">
        <w:t xml:space="preserve"> (</w:t>
      </w:r>
      <w:r w:rsidR="00C2521C">
        <w:t xml:space="preserve">koje iznose </w:t>
      </w:r>
      <w:r w:rsidR="00D37FEE">
        <w:t>1</w:t>
      </w:r>
      <w:r w:rsidR="00C80F9B">
        <w:t>1</w:t>
      </w:r>
      <w:r w:rsidR="00D37FEE">
        <w:t>,</w:t>
      </w:r>
      <w:r w:rsidR="00C80F9B">
        <w:t>4</w:t>
      </w:r>
      <w:r w:rsidR="00C2521C">
        <w:t xml:space="preserve"> mil</w:t>
      </w:r>
      <w:r>
        <w:t>.</w:t>
      </w:r>
      <w:r w:rsidR="00A70F9E">
        <w:t>eura</w:t>
      </w:r>
      <w:r w:rsidR="00C2521C">
        <w:t xml:space="preserve">).  </w:t>
      </w:r>
    </w:p>
    <w:p w14:paraId="46181D00" w14:textId="3555A45E" w:rsidR="003D3BC3" w:rsidRPr="00DC0EC7" w:rsidRDefault="007D7D5B" w:rsidP="00DC0EC7">
      <w:pPr>
        <w:ind w:firstLine="708"/>
        <w:jc w:val="both"/>
      </w:pPr>
      <w:r>
        <w:t>Planirani prihodi grada za 202</w:t>
      </w:r>
      <w:r w:rsidR="00C80F9B">
        <w:t>4</w:t>
      </w:r>
      <w:r>
        <w:t>.</w:t>
      </w:r>
      <w:r w:rsidR="003D1AFE">
        <w:t xml:space="preserve"> </w:t>
      </w:r>
      <w:r>
        <w:t>godinu su sljedeći</w:t>
      </w:r>
      <w:r w:rsidR="006C5052">
        <w:t>:</w:t>
      </w:r>
    </w:p>
    <w:p w14:paraId="22DDF6D9" w14:textId="77777777" w:rsidR="0057532C" w:rsidRDefault="0057532C" w:rsidP="007613FD">
      <w:pPr>
        <w:rPr>
          <w:sz w:val="22"/>
          <w:szCs w:val="22"/>
        </w:rPr>
      </w:pPr>
    </w:p>
    <w:p w14:paraId="3A2FD4AD" w14:textId="68D8BD50" w:rsidR="00A41BF1" w:rsidRDefault="007D7D5B" w:rsidP="007613FD">
      <w:pPr>
        <w:rPr>
          <w:b/>
        </w:rPr>
      </w:pPr>
      <w:r>
        <w:rPr>
          <w:b/>
        </w:rPr>
        <w:t xml:space="preserve">Tablica </w:t>
      </w:r>
      <w:r w:rsidR="00EA0373">
        <w:rPr>
          <w:b/>
        </w:rPr>
        <w:t>3</w:t>
      </w:r>
      <w:r>
        <w:rPr>
          <w:b/>
        </w:rPr>
        <w:t>. Planirani prihodi Proračuna Grada Karlovca za 202</w:t>
      </w:r>
      <w:r w:rsidR="00C80F9B">
        <w:rPr>
          <w:b/>
        </w:rPr>
        <w:t>4</w:t>
      </w:r>
      <w:r>
        <w:rPr>
          <w:b/>
        </w:rPr>
        <w:t>. godinu</w:t>
      </w:r>
    </w:p>
    <w:p w14:paraId="538B3D1B" w14:textId="77777777" w:rsidR="0093422C" w:rsidRDefault="0093422C" w:rsidP="007613FD"/>
    <w:p w14:paraId="57FECC2F" w14:textId="65A624A6" w:rsidR="00A41BF1" w:rsidRDefault="009520CD" w:rsidP="007613FD">
      <w:r w:rsidRPr="009520CD">
        <w:rPr>
          <w:noProof/>
        </w:rPr>
        <w:drawing>
          <wp:inline distT="0" distB="0" distL="0" distR="0" wp14:anchorId="5E121C67" wp14:editId="582B80FF">
            <wp:extent cx="5759450" cy="3283585"/>
            <wp:effectExtent l="0" t="0" r="0" b="0"/>
            <wp:docPr id="1754188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E6E0" w14:textId="505C70A2" w:rsidR="00A41BF1" w:rsidRDefault="007D7D5B" w:rsidP="007613FD">
      <w:pPr>
        <w:tabs>
          <w:tab w:val="left" w:pos="0"/>
          <w:tab w:val="left" w:pos="1080"/>
        </w:tabs>
        <w:jc w:val="both"/>
      </w:pPr>
      <w:r>
        <w:rPr>
          <w:b/>
        </w:rPr>
        <w:t xml:space="preserve">   </w:t>
      </w:r>
    </w:p>
    <w:p w14:paraId="2D86F518" w14:textId="526A4529" w:rsidR="00A41BF1" w:rsidRPr="003D1AFE" w:rsidRDefault="007D7D5B" w:rsidP="007613FD">
      <w:pPr>
        <w:pStyle w:val="Heading2"/>
        <w:spacing w:before="0" w:after="0"/>
      </w:pPr>
      <w:r w:rsidRPr="003D1AFE">
        <w:t xml:space="preserve"> PRIHODI POSLOVANJA</w:t>
      </w:r>
    </w:p>
    <w:p w14:paraId="2D756BC4" w14:textId="77777777" w:rsidR="00A41BF1" w:rsidRDefault="00A41BF1" w:rsidP="007613FD">
      <w:pPr>
        <w:tabs>
          <w:tab w:val="left" w:pos="0"/>
          <w:tab w:val="left" w:pos="1080"/>
        </w:tabs>
        <w:jc w:val="both"/>
      </w:pPr>
    </w:p>
    <w:p w14:paraId="2C561099" w14:textId="6AD0283E" w:rsidR="003D1AFE" w:rsidRDefault="007D7D5B" w:rsidP="007613FD">
      <w:pPr>
        <w:tabs>
          <w:tab w:val="left" w:pos="0"/>
          <w:tab w:val="left" w:pos="1080"/>
          <w:tab w:val="num" w:pos="1440"/>
        </w:tabs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 xml:space="preserve">             </w:t>
      </w:r>
      <w:r w:rsidR="003D1AFE">
        <w:rPr>
          <w:color w:val="000000"/>
        </w:rPr>
        <w:t>Ukupni prihodi poslovanja u 202</w:t>
      </w:r>
      <w:r w:rsidR="00C17367">
        <w:rPr>
          <w:color w:val="000000"/>
        </w:rPr>
        <w:t>4</w:t>
      </w:r>
      <w:r w:rsidR="003D1AFE" w:rsidRPr="000E5A8B">
        <w:rPr>
          <w:color w:val="000000"/>
        </w:rPr>
        <w:t xml:space="preserve">. godini planiraju se u iznosu od </w:t>
      </w:r>
      <w:r w:rsidR="00C17367">
        <w:rPr>
          <w:color w:val="000000"/>
        </w:rPr>
        <w:t>80.</w:t>
      </w:r>
      <w:r w:rsidR="00267BD7">
        <w:rPr>
          <w:color w:val="000000"/>
        </w:rPr>
        <w:t>528</w:t>
      </w:r>
      <w:r w:rsidR="00C17367">
        <w:rPr>
          <w:color w:val="000000"/>
        </w:rPr>
        <w:t>.</w:t>
      </w:r>
      <w:r w:rsidR="00267BD7">
        <w:rPr>
          <w:color w:val="000000"/>
        </w:rPr>
        <w:t>4</w:t>
      </w:r>
      <w:r w:rsidR="00C17367">
        <w:rPr>
          <w:color w:val="000000"/>
        </w:rPr>
        <w:t>76</w:t>
      </w:r>
      <w:r w:rsidR="00255951">
        <w:rPr>
          <w:color w:val="000000"/>
        </w:rPr>
        <w:t xml:space="preserve"> eura</w:t>
      </w:r>
      <w:r w:rsidR="003D1AFE">
        <w:rPr>
          <w:color w:val="000000"/>
        </w:rPr>
        <w:t>,</w:t>
      </w:r>
      <w:r w:rsidR="003D1AFE" w:rsidRPr="00D4760E">
        <w:rPr>
          <w:bCs/>
        </w:rPr>
        <w:t xml:space="preserve"> </w:t>
      </w:r>
      <w:r w:rsidR="003D1AFE">
        <w:rPr>
          <w:bCs/>
        </w:rPr>
        <w:t xml:space="preserve">a u strukturi ukupnih prihoda čine </w:t>
      </w:r>
      <w:r w:rsidR="00761937">
        <w:rPr>
          <w:bCs/>
        </w:rPr>
        <w:t>8</w:t>
      </w:r>
      <w:r w:rsidR="00C17367">
        <w:rPr>
          <w:bCs/>
        </w:rPr>
        <w:t>4</w:t>
      </w:r>
      <w:r w:rsidR="00255951">
        <w:rPr>
          <w:bCs/>
        </w:rPr>
        <w:t>,</w:t>
      </w:r>
      <w:r w:rsidR="00267BD7">
        <w:rPr>
          <w:bCs/>
        </w:rPr>
        <w:t>54</w:t>
      </w:r>
      <w:r w:rsidR="003D1AFE">
        <w:rPr>
          <w:bCs/>
        </w:rPr>
        <w:t>%.</w:t>
      </w:r>
    </w:p>
    <w:p w14:paraId="7CC78A45" w14:textId="51AB7E8C" w:rsidR="003D1AFE" w:rsidRPr="000E5A8B" w:rsidRDefault="003D1AFE" w:rsidP="002047C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5A8B">
        <w:rPr>
          <w:color w:val="000000"/>
        </w:rPr>
        <w:t xml:space="preserve"> U strukturi prihoda poslovanja najveći udio imaju </w:t>
      </w:r>
      <w:r w:rsidR="002047C5">
        <w:rPr>
          <w:color w:val="000000"/>
        </w:rPr>
        <w:t>pomoći iz inozemstva i od subjekata unutar općeg proračuna u visini od 50,6</w:t>
      </w:r>
      <w:r w:rsidR="00267BD7">
        <w:rPr>
          <w:color w:val="000000"/>
        </w:rPr>
        <w:t>5</w:t>
      </w:r>
      <w:r w:rsidR="002047C5">
        <w:rPr>
          <w:color w:val="000000"/>
        </w:rPr>
        <w:t xml:space="preserve">%, </w:t>
      </w:r>
      <w:r>
        <w:rPr>
          <w:color w:val="000000"/>
        </w:rPr>
        <w:t xml:space="preserve">te </w:t>
      </w:r>
      <w:r w:rsidR="002047C5" w:rsidRPr="000E5A8B">
        <w:rPr>
          <w:color w:val="000000"/>
        </w:rPr>
        <w:t xml:space="preserve">porezni prihodi </w:t>
      </w:r>
      <w:r>
        <w:rPr>
          <w:color w:val="000000"/>
        </w:rPr>
        <w:t xml:space="preserve">koji u ukupnim prihodima poslovanja sudjeluju s </w:t>
      </w:r>
      <w:r w:rsidR="002047C5">
        <w:rPr>
          <w:color w:val="000000"/>
        </w:rPr>
        <w:t>31,8</w:t>
      </w:r>
      <w:r w:rsidR="00267BD7">
        <w:rPr>
          <w:color w:val="000000"/>
        </w:rPr>
        <w:t>6</w:t>
      </w:r>
      <w:r>
        <w:rPr>
          <w:color w:val="000000"/>
        </w:rPr>
        <w:t>%. P</w:t>
      </w:r>
      <w:r w:rsidRPr="000E5A8B">
        <w:rPr>
          <w:color w:val="000000"/>
        </w:rPr>
        <w:t xml:space="preserve">rihodi od </w:t>
      </w:r>
      <w:r>
        <w:rPr>
          <w:color w:val="000000"/>
        </w:rPr>
        <w:t xml:space="preserve">upravnih i administrativnih pristojbi, pristojbi po posebnim propisima i naknada </w:t>
      </w:r>
      <w:r w:rsidRPr="000E5A8B">
        <w:rPr>
          <w:color w:val="000000"/>
        </w:rPr>
        <w:t>u ukupnim prihodima</w:t>
      </w:r>
      <w:r>
        <w:rPr>
          <w:color w:val="000000"/>
        </w:rPr>
        <w:t xml:space="preserve"> poslovanja</w:t>
      </w:r>
      <w:r w:rsidRPr="000E5A8B">
        <w:rPr>
          <w:color w:val="000000"/>
        </w:rPr>
        <w:t xml:space="preserve"> </w:t>
      </w:r>
      <w:r>
        <w:rPr>
          <w:color w:val="000000"/>
        </w:rPr>
        <w:t>sudjeluju s</w:t>
      </w:r>
      <w:r w:rsidRPr="000E5A8B">
        <w:rPr>
          <w:color w:val="000000"/>
        </w:rPr>
        <w:t xml:space="preserve"> </w:t>
      </w:r>
      <w:r w:rsidR="00A56470">
        <w:rPr>
          <w:color w:val="000000"/>
        </w:rPr>
        <w:t>1</w:t>
      </w:r>
      <w:r w:rsidR="002047C5">
        <w:rPr>
          <w:color w:val="000000"/>
        </w:rPr>
        <w:t>2</w:t>
      </w:r>
      <w:r w:rsidR="00A56470">
        <w:rPr>
          <w:color w:val="000000"/>
        </w:rPr>
        <w:t>,</w:t>
      </w:r>
      <w:r w:rsidR="00267BD7">
        <w:rPr>
          <w:color w:val="000000"/>
        </w:rPr>
        <w:t>89</w:t>
      </w:r>
      <w:r>
        <w:rPr>
          <w:color w:val="000000"/>
        </w:rPr>
        <w:t xml:space="preserve">%, </w:t>
      </w:r>
      <w:r w:rsidRPr="000E5A8B">
        <w:rPr>
          <w:color w:val="000000"/>
        </w:rPr>
        <w:t xml:space="preserve">dok </w:t>
      </w:r>
      <w:r>
        <w:rPr>
          <w:color w:val="000000"/>
        </w:rPr>
        <w:t>p</w:t>
      </w:r>
      <w:r w:rsidRPr="000E5A8B">
        <w:rPr>
          <w:color w:val="000000"/>
        </w:rPr>
        <w:t xml:space="preserve">rihodi od </w:t>
      </w:r>
      <w:r w:rsidR="00B11B24">
        <w:rPr>
          <w:color w:val="000000"/>
        </w:rPr>
        <w:t xml:space="preserve">imovine sudjeluju s </w:t>
      </w:r>
      <w:r w:rsidR="002047C5">
        <w:rPr>
          <w:color w:val="000000"/>
        </w:rPr>
        <w:t>2,58</w:t>
      </w:r>
      <w:r w:rsidR="00C1336A">
        <w:rPr>
          <w:color w:val="000000"/>
        </w:rPr>
        <w:t xml:space="preserve">% u ukupnim prihodima poslovanja. </w:t>
      </w:r>
    </w:p>
    <w:p w14:paraId="0E10629B" w14:textId="38EB22C6" w:rsidR="003D1AFE" w:rsidRDefault="003D1AFE" w:rsidP="007613FD">
      <w:pPr>
        <w:tabs>
          <w:tab w:val="left" w:pos="0"/>
          <w:tab w:val="left" w:pos="1080"/>
          <w:tab w:val="num" w:pos="14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0E5A8B">
        <w:rPr>
          <w:color w:val="000000"/>
        </w:rPr>
        <w:t>Najmanji udio imaju p</w:t>
      </w:r>
      <w:r>
        <w:rPr>
          <w:color w:val="000000"/>
        </w:rPr>
        <w:t>rihodi od</w:t>
      </w:r>
      <w:r w:rsidR="00B11B24">
        <w:rPr>
          <w:color w:val="000000"/>
        </w:rPr>
        <w:t xml:space="preserve"> </w:t>
      </w:r>
      <w:r w:rsidR="00B11B24" w:rsidRPr="000E5A8B">
        <w:rPr>
          <w:color w:val="000000"/>
        </w:rPr>
        <w:t>prodaje proizvoda i robe, t</w:t>
      </w:r>
      <w:r w:rsidR="00B11B24">
        <w:rPr>
          <w:color w:val="000000"/>
        </w:rPr>
        <w:t>e pruženih usluga i prihodi od donacija koji čine</w:t>
      </w:r>
      <w:r w:rsidR="00B11B24" w:rsidRPr="000E5A8B">
        <w:rPr>
          <w:color w:val="000000"/>
        </w:rPr>
        <w:t xml:space="preserve"> </w:t>
      </w:r>
      <w:r w:rsidR="00B11B24">
        <w:rPr>
          <w:color w:val="000000"/>
        </w:rPr>
        <w:t>1,</w:t>
      </w:r>
      <w:r w:rsidR="002047C5">
        <w:rPr>
          <w:color w:val="000000"/>
        </w:rPr>
        <w:t>82</w:t>
      </w:r>
      <w:r w:rsidR="00B11B24" w:rsidRPr="000E5A8B">
        <w:rPr>
          <w:color w:val="000000"/>
        </w:rPr>
        <w:t>% ukupnih prihoda</w:t>
      </w:r>
      <w:r w:rsidR="00B11B24">
        <w:rPr>
          <w:color w:val="000000"/>
        </w:rPr>
        <w:t xml:space="preserve"> </w:t>
      </w:r>
      <w:r>
        <w:rPr>
          <w:color w:val="000000"/>
        </w:rPr>
        <w:t>kao i prihodi od kazni,</w:t>
      </w:r>
      <w:r w:rsidR="004F2672">
        <w:rPr>
          <w:color w:val="000000"/>
        </w:rPr>
        <w:t xml:space="preserve"> </w:t>
      </w:r>
      <w:r w:rsidRPr="000E5A8B">
        <w:rPr>
          <w:color w:val="000000"/>
        </w:rPr>
        <w:t>upravnih mjera</w:t>
      </w:r>
      <w:r>
        <w:rPr>
          <w:color w:val="000000"/>
        </w:rPr>
        <w:t xml:space="preserve"> i ostali prihodi koji</w:t>
      </w:r>
      <w:r w:rsidRPr="000E5A8B">
        <w:rPr>
          <w:color w:val="000000"/>
        </w:rPr>
        <w:t xml:space="preserve"> u </w:t>
      </w:r>
      <w:r>
        <w:rPr>
          <w:color w:val="000000"/>
        </w:rPr>
        <w:t>ukupnim prihodima sudjeluju s 0,</w:t>
      </w:r>
      <w:r w:rsidR="002047C5">
        <w:rPr>
          <w:color w:val="000000"/>
        </w:rPr>
        <w:t>19</w:t>
      </w:r>
      <w:r w:rsidRPr="000E5A8B">
        <w:rPr>
          <w:color w:val="000000"/>
        </w:rPr>
        <w:t>%</w:t>
      </w:r>
      <w:r>
        <w:rPr>
          <w:color w:val="000000"/>
        </w:rPr>
        <w:t>.</w:t>
      </w:r>
    </w:p>
    <w:p w14:paraId="6FB99207" w14:textId="3D240D61" w:rsidR="003D1AFE" w:rsidRDefault="003D1AFE" w:rsidP="007613FD">
      <w:pPr>
        <w:tabs>
          <w:tab w:val="left" w:pos="0"/>
          <w:tab w:val="left" w:pos="1080"/>
          <w:tab w:val="num" w:pos="1440"/>
        </w:tabs>
        <w:autoSpaceDE w:val="0"/>
        <w:autoSpaceDN w:val="0"/>
        <w:adjustRightInd w:val="0"/>
        <w:jc w:val="both"/>
        <w:rPr>
          <w:color w:val="000000"/>
        </w:rPr>
      </w:pPr>
    </w:p>
    <w:p w14:paraId="571A773F" w14:textId="77777777" w:rsidR="003D1AFE" w:rsidRDefault="003D1AFE" w:rsidP="007613FD">
      <w:pPr>
        <w:pStyle w:val="Heading3"/>
        <w:spacing w:before="0" w:after="0"/>
      </w:pPr>
      <w:r>
        <w:t>POREZNI PRIHODI</w:t>
      </w:r>
    </w:p>
    <w:p w14:paraId="2D5D8FC5" w14:textId="77777777" w:rsidR="003D1AFE" w:rsidRDefault="003D1AFE" w:rsidP="007613FD">
      <w:pPr>
        <w:tabs>
          <w:tab w:val="left" w:pos="1080"/>
          <w:tab w:val="left" w:pos="1260"/>
        </w:tabs>
        <w:autoSpaceDE w:val="0"/>
        <w:autoSpaceDN w:val="0"/>
        <w:adjustRightInd w:val="0"/>
        <w:ind w:left="900"/>
        <w:rPr>
          <w:b/>
          <w:bCs/>
          <w:sz w:val="22"/>
          <w:szCs w:val="22"/>
        </w:rPr>
      </w:pPr>
    </w:p>
    <w:p w14:paraId="209E4B44" w14:textId="2CE475C9" w:rsidR="003D1AFE" w:rsidRDefault="003D1AFE" w:rsidP="007613FD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 xml:space="preserve">Prihodi od poreza </w:t>
      </w:r>
      <w:r>
        <w:t>obuhva</w:t>
      </w:r>
      <w:r>
        <w:rPr>
          <w:rFonts w:eastAsia="TimesNewRoman"/>
        </w:rPr>
        <w:t>ć</w:t>
      </w:r>
      <w:r>
        <w:t>aju prihode od poreza i prireza na dohodak, poreza na imovinu</w:t>
      </w:r>
      <w:r w:rsidR="008374BB">
        <w:t xml:space="preserve">, </w:t>
      </w:r>
      <w:r>
        <w:t xml:space="preserve"> te poreza na robu i usluge, a planirani su za 202</w:t>
      </w:r>
      <w:r w:rsidR="002047C5">
        <w:t>4</w:t>
      </w:r>
      <w:r>
        <w:t xml:space="preserve">. godinu u iznosu od </w:t>
      </w:r>
      <w:r w:rsidR="002047C5">
        <w:t>25.659.200</w:t>
      </w:r>
      <w:r w:rsidR="00274EA7">
        <w:t xml:space="preserve"> eura</w:t>
      </w:r>
      <w:r>
        <w:t xml:space="preserve">, što je </w:t>
      </w:r>
      <w:r w:rsidRPr="00601A3F">
        <w:t xml:space="preserve">za </w:t>
      </w:r>
      <w:r w:rsidR="00F31A10">
        <w:t>0</w:t>
      </w:r>
      <w:r w:rsidR="00274EA7" w:rsidRPr="00601A3F">
        <w:t>,</w:t>
      </w:r>
      <w:r w:rsidR="00F31A10">
        <w:t>9</w:t>
      </w:r>
      <w:r w:rsidRPr="00601A3F">
        <w:t xml:space="preserve"> mil. </w:t>
      </w:r>
      <w:r w:rsidR="00274EA7" w:rsidRPr="00601A3F">
        <w:t>eura</w:t>
      </w:r>
      <w:r w:rsidRPr="00601A3F">
        <w:t xml:space="preserve"> </w:t>
      </w:r>
      <w:r w:rsidR="00F31A10">
        <w:t>manje</w:t>
      </w:r>
      <w:r w:rsidRPr="00601A3F">
        <w:t xml:space="preserve"> u </w:t>
      </w:r>
      <w:r>
        <w:t xml:space="preserve">odnosu na </w:t>
      </w:r>
      <w:r w:rsidR="00F31A10">
        <w:t>Druge</w:t>
      </w:r>
      <w:r w:rsidR="00601A3F" w:rsidRPr="001E4D4E">
        <w:t xml:space="preserve"> </w:t>
      </w:r>
      <w:r w:rsidR="00F31A10">
        <w:t>i</w:t>
      </w:r>
      <w:r>
        <w:t xml:space="preserve">zmjene i dopune </w:t>
      </w:r>
      <w:r w:rsidR="00BD5FC7">
        <w:t>p</w:t>
      </w:r>
      <w:r>
        <w:t>roračuna za 20</w:t>
      </w:r>
      <w:r w:rsidR="00C670FA">
        <w:t>2</w:t>
      </w:r>
      <w:r w:rsidR="00F31A10">
        <w:t>3</w:t>
      </w:r>
      <w:r>
        <w:t>.</w:t>
      </w:r>
      <w:r w:rsidR="00F31A10">
        <w:t xml:space="preserve"> </w:t>
      </w:r>
      <w:r>
        <w:t>godinu</w:t>
      </w:r>
      <w:r w:rsidR="00F31A10">
        <w:t xml:space="preserve">, a razlog smanjenjenja jest porezna reforma kojom se ukida prirez porezu na dohodak i </w:t>
      </w:r>
      <w:r w:rsidR="00F31A10">
        <w:lastRenderedPageBreak/>
        <w:t>povećavaju porezne olakšice.</w:t>
      </w:r>
      <w:r>
        <w:t xml:space="preserve"> </w:t>
      </w:r>
      <w:r w:rsidRPr="007B16F7">
        <w:t xml:space="preserve">Porezni prihodi </w:t>
      </w:r>
      <w:r>
        <w:t>projicirani su za razdoblje 202</w:t>
      </w:r>
      <w:r w:rsidR="00F31A10">
        <w:t>4</w:t>
      </w:r>
      <w:r>
        <w:t>. -  202</w:t>
      </w:r>
      <w:r w:rsidR="00F31A10">
        <w:t>6</w:t>
      </w:r>
      <w:r w:rsidRPr="007B16F7">
        <w:t>. na temelju makroekonomskih varijabli i očekivanih gospodarskih kretanja, te te</w:t>
      </w:r>
      <w:r>
        <w:t>meljem dosadašnjeg ostvarenja prihoda u 20</w:t>
      </w:r>
      <w:r w:rsidR="00C670FA">
        <w:t>2</w:t>
      </w:r>
      <w:r w:rsidR="00F31A10">
        <w:t>3</w:t>
      </w:r>
      <w:r w:rsidRPr="007B16F7">
        <w:t>. godini i njihove projekcije u sljedećem razdoblju.</w:t>
      </w:r>
    </w:p>
    <w:p w14:paraId="7D5EC9B3" w14:textId="0A98F677" w:rsidR="003D1AFE" w:rsidRDefault="003D1AFE" w:rsidP="007613FD">
      <w:pPr>
        <w:autoSpaceDE w:val="0"/>
        <w:autoSpaceDN w:val="0"/>
        <w:adjustRightInd w:val="0"/>
        <w:ind w:firstLine="708"/>
        <w:jc w:val="both"/>
      </w:pPr>
      <w:r w:rsidRPr="007B16F7">
        <w:rPr>
          <w:color w:val="000000"/>
        </w:rPr>
        <w:t xml:space="preserve">Prihodi od poreza u sljedećoj proračunskoj godini planirani su u visini od </w:t>
      </w:r>
      <w:r w:rsidR="00F31A10">
        <w:t xml:space="preserve">25.659.200 </w:t>
      </w:r>
      <w:r w:rsidR="00994C7A">
        <w:rPr>
          <w:color w:val="000000"/>
        </w:rPr>
        <w:t>eura</w:t>
      </w:r>
      <w:r w:rsidRPr="00526525">
        <w:rPr>
          <w:color w:val="000000"/>
        </w:rPr>
        <w:t>, a u projekcijama za 202</w:t>
      </w:r>
      <w:r w:rsidR="00A53ACC">
        <w:rPr>
          <w:color w:val="000000"/>
        </w:rPr>
        <w:t>4</w:t>
      </w:r>
      <w:r w:rsidRPr="00526525">
        <w:rPr>
          <w:color w:val="000000"/>
        </w:rPr>
        <w:t>. i 202</w:t>
      </w:r>
      <w:r w:rsidR="00A53ACC">
        <w:rPr>
          <w:color w:val="000000"/>
        </w:rPr>
        <w:t>5</w:t>
      </w:r>
      <w:r w:rsidRPr="00526525">
        <w:rPr>
          <w:color w:val="000000"/>
        </w:rPr>
        <w:t xml:space="preserve">. godinu u visini od </w:t>
      </w:r>
      <w:r w:rsidR="00F31A10" w:rsidRPr="00F31A10">
        <w:rPr>
          <w:color w:val="000000"/>
        </w:rPr>
        <w:t>26.673.400</w:t>
      </w:r>
      <w:r w:rsidR="00F31A10">
        <w:rPr>
          <w:color w:val="000000"/>
        </w:rPr>
        <w:t xml:space="preserve"> </w:t>
      </w:r>
      <w:r w:rsidR="00994C7A">
        <w:rPr>
          <w:color w:val="000000"/>
        </w:rPr>
        <w:t>eura</w:t>
      </w:r>
      <w:r w:rsidRPr="00526525">
        <w:rPr>
          <w:color w:val="000000"/>
        </w:rPr>
        <w:t xml:space="preserve">, odnosno </w:t>
      </w:r>
      <w:r w:rsidR="00F31A10" w:rsidRPr="00F31A10">
        <w:rPr>
          <w:color w:val="000000"/>
        </w:rPr>
        <w:t>27.527.600</w:t>
      </w:r>
      <w:r w:rsidR="00F31A10">
        <w:rPr>
          <w:color w:val="000000"/>
        </w:rPr>
        <w:t xml:space="preserve"> </w:t>
      </w:r>
      <w:r w:rsidR="00994C7A">
        <w:rPr>
          <w:color w:val="000000"/>
        </w:rPr>
        <w:t>eura</w:t>
      </w:r>
      <w:r w:rsidRPr="00526525">
        <w:rPr>
          <w:color w:val="000000"/>
        </w:rPr>
        <w:t>.</w:t>
      </w:r>
      <w:r w:rsidRPr="007B16F7">
        <w:rPr>
          <w:color w:val="000000"/>
        </w:rPr>
        <w:t xml:space="preserve"> </w:t>
      </w:r>
    </w:p>
    <w:p w14:paraId="386CDC0D" w14:textId="4EFEB2DF" w:rsidR="003D1AFE" w:rsidRPr="00D860AD" w:rsidRDefault="003D1AFE" w:rsidP="007613FD">
      <w:pPr>
        <w:autoSpaceDE w:val="0"/>
        <w:autoSpaceDN w:val="0"/>
        <w:adjustRightInd w:val="0"/>
        <w:ind w:firstLine="708"/>
        <w:jc w:val="both"/>
      </w:pPr>
      <w:r w:rsidRPr="006D1A6F">
        <w:rPr>
          <w:b/>
          <w:bCs/>
        </w:rPr>
        <w:t>Prihodi od poreza na dohodak</w:t>
      </w:r>
      <w:r w:rsidRPr="006D1A6F">
        <w:rPr>
          <w:bCs/>
        </w:rPr>
        <w:t xml:space="preserve"> </w:t>
      </w:r>
      <w:r w:rsidRPr="006D1A6F">
        <w:t xml:space="preserve">procjenjuju se u iznosu od </w:t>
      </w:r>
      <w:r w:rsidR="00F31A10">
        <w:t>24.163.200</w:t>
      </w:r>
      <w:r w:rsidRPr="006D1A6F">
        <w:t xml:space="preserve"> </w:t>
      </w:r>
      <w:r w:rsidR="00994C7A">
        <w:t>eura</w:t>
      </w:r>
      <w:r w:rsidRPr="006D1A6F">
        <w:t xml:space="preserve">, što je za </w:t>
      </w:r>
      <w:r w:rsidR="00FF53CD">
        <w:t>946.007 eura</w:t>
      </w:r>
      <w:r w:rsidRPr="006D1A6F">
        <w:t xml:space="preserve"> </w:t>
      </w:r>
      <w:r w:rsidR="00FF53CD">
        <w:t>manje</w:t>
      </w:r>
      <w:r w:rsidRPr="006D1A6F">
        <w:t xml:space="preserve"> u odnosu na </w:t>
      </w:r>
      <w:r w:rsidR="00FF53CD">
        <w:t>D</w:t>
      </w:r>
      <w:r w:rsidR="006D5C00">
        <w:t xml:space="preserve">ruge </w:t>
      </w:r>
      <w:r w:rsidR="00FF53CD">
        <w:t>i</w:t>
      </w:r>
      <w:r w:rsidR="006D5C00" w:rsidRPr="006D5C00">
        <w:t xml:space="preserve">zmjene i dopune </w:t>
      </w:r>
      <w:r w:rsidRPr="006D5C00">
        <w:t>plan</w:t>
      </w:r>
      <w:r w:rsidR="006D5C00" w:rsidRPr="006D5C00">
        <w:t>a</w:t>
      </w:r>
      <w:r w:rsidRPr="006D5C00">
        <w:t xml:space="preserve"> za 20</w:t>
      </w:r>
      <w:r w:rsidR="00FB1BA0" w:rsidRPr="006D5C00">
        <w:t>2</w:t>
      </w:r>
      <w:r w:rsidR="00FF53CD">
        <w:t>3</w:t>
      </w:r>
      <w:r w:rsidRPr="006D5C00">
        <w:t>. godinu</w:t>
      </w:r>
      <w:r w:rsidR="006D5C00" w:rsidRPr="006D5C00">
        <w:t>.</w:t>
      </w:r>
      <w:r w:rsidR="000C6529" w:rsidRPr="006D5C00">
        <w:t xml:space="preserve"> </w:t>
      </w:r>
      <w:r w:rsidRPr="006D5C00">
        <w:t>Temelj za planiranje ovih prihoda je izvršenje i procjena plana prihoda za 20</w:t>
      </w:r>
      <w:r w:rsidR="00FB1BA0" w:rsidRPr="006D5C00">
        <w:t>2</w:t>
      </w:r>
      <w:r w:rsidR="00FF53CD">
        <w:t>3</w:t>
      </w:r>
      <w:r w:rsidRPr="006D5C00">
        <w:t xml:space="preserve">. </w:t>
      </w:r>
      <w:r w:rsidRPr="006D1A6F">
        <w:t>godinu</w:t>
      </w:r>
      <w:r w:rsidR="005839C0" w:rsidRPr="006D1A6F">
        <w:t xml:space="preserve">. </w:t>
      </w:r>
    </w:p>
    <w:p w14:paraId="71FFBA5C" w14:textId="5821353F" w:rsidR="003D1AFE" w:rsidRDefault="003D1AFE" w:rsidP="007613FD">
      <w:pPr>
        <w:autoSpaceDE w:val="0"/>
        <w:autoSpaceDN w:val="0"/>
        <w:adjustRightInd w:val="0"/>
        <w:jc w:val="both"/>
      </w:pPr>
      <w:r>
        <w:t>Struktura prihoda od poreza na dohodak je sljedeća:</w:t>
      </w:r>
    </w:p>
    <w:p w14:paraId="7A9D5ADF" w14:textId="166C4EF7" w:rsidR="003D1AFE" w:rsidRDefault="003D1AFE" w:rsidP="007613FD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porez na dohodak kao nenamjenski prihod planiran je u iznosu od </w:t>
      </w:r>
      <w:r w:rsidR="00FF53CD">
        <w:t>23.340.000</w:t>
      </w:r>
      <w:r w:rsidR="00F7196D">
        <w:t xml:space="preserve"> </w:t>
      </w:r>
      <w:r w:rsidR="00994C7A">
        <w:t>eura</w:t>
      </w:r>
    </w:p>
    <w:p w14:paraId="01B41C2B" w14:textId="010F5E7B" w:rsidR="003D1AFE" w:rsidRDefault="003D1AFE" w:rsidP="007613FD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dio poreza na dohodak za decentralizirane funkcije osnovnog školstva u iznosu od </w:t>
      </w:r>
      <w:r w:rsidR="00FF53CD">
        <w:t>539.700</w:t>
      </w:r>
      <w:r>
        <w:t xml:space="preserve"> </w:t>
      </w:r>
      <w:r w:rsidR="00994C7A">
        <w:t>eura</w:t>
      </w:r>
    </w:p>
    <w:p w14:paraId="75A95A89" w14:textId="394E7D8F" w:rsidR="003D1AFE" w:rsidRDefault="003D1AFE" w:rsidP="007613FD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dio poreza na dohodak za financiranje decentralizirane funkcije vatrogastva u iznosu od</w:t>
      </w:r>
      <w:r w:rsidR="00FF53CD">
        <w:t xml:space="preserve"> 283.500</w:t>
      </w:r>
      <w:r>
        <w:t xml:space="preserve"> </w:t>
      </w:r>
      <w:r w:rsidR="00994C7A">
        <w:t>eura</w:t>
      </w:r>
      <w:r>
        <w:t>.</w:t>
      </w:r>
    </w:p>
    <w:p w14:paraId="4B19D05E" w14:textId="139C73CE" w:rsidR="000C6529" w:rsidRDefault="003D1AFE" w:rsidP="007D44FF">
      <w:pPr>
        <w:autoSpaceDE w:val="0"/>
        <w:autoSpaceDN w:val="0"/>
        <w:adjustRightInd w:val="0"/>
        <w:ind w:firstLine="708"/>
        <w:jc w:val="both"/>
      </w:pPr>
      <w:r>
        <w:t>Prihodi za decentralizirane funkcije osnovnog školstva i vatrogastva (udjeli u porezu na dohodak i pomoći izravnanja) procjenjuju se prema Uputama Ministarstva financija za izradu proračuna za razdoblje 202</w:t>
      </w:r>
      <w:r w:rsidR="00FF53CD">
        <w:t>4</w:t>
      </w:r>
      <w:r>
        <w:t>.</w:t>
      </w:r>
      <w:r w:rsidR="00FC08A2">
        <w:t xml:space="preserve"> </w:t>
      </w:r>
      <w:r>
        <w:t>do 202</w:t>
      </w:r>
      <w:r w:rsidR="00FF53CD">
        <w:t>6</w:t>
      </w:r>
      <w:r>
        <w:t xml:space="preserve">. godine, budući da Odluke Vlade Republike Hrvatske o minimalnim financijskim standardima za decentralizirano financiranje osnovnih škola i vatrogastva za iduću godinu još nisu donesene. </w:t>
      </w:r>
      <w:r w:rsidR="0053358C" w:rsidRPr="0053358C">
        <w:t>Prema Uputama</w:t>
      </w:r>
      <w:r w:rsidR="00CF6824">
        <w:t xml:space="preserve">, za </w:t>
      </w:r>
      <w:r w:rsidR="0053358C" w:rsidRPr="0053358C">
        <w:t>u</w:t>
      </w:r>
      <w:r w:rsidR="00AB03F8" w:rsidRPr="0053358C">
        <w:t>kupan iznos sredstava potreban za osiguranje minimalnih financijskih standarda (bilančnih</w:t>
      </w:r>
      <w:r w:rsidR="007E4B64">
        <w:t xml:space="preserve"> </w:t>
      </w:r>
      <w:r w:rsidR="00AB03F8" w:rsidRPr="0053358C">
        <w:t>prava) u 202</w:t>
      </w:r>
      <w:r w:rsidR="00CF6824">
        <w:t>4</w:t>
      </w:r>
      <w:r w:rsidR="00AB03F8" w:rsidRPr="0053358C">
        <w:t xml:space="preserve">. godini planira se </w:t>
      </w:r>
      <w:r w:rsidR="00CF6824">
        <w:t>rast za 3% u odnosu na prethodnu 2023. godinu</w:t>
      </w:r>
      <w:r w:rsidR="00AB03F8" w:rsidRPr="0053358C">
        <w:t>.</w:t>
      </w:r>
      <w:r w:rsidRPr="0053358C">
        <w:t xml:space="preserve"> </w:t>
      </w:r>
    </w:p>
    <w:p w14:paraId="46B4D9DF" w14:textId="4C9A7F2A" w:rsidR="003D1AFE" w:rsidRPr="002F36CE" w:rsidRDefault="003D1AFE" w:rsidP="002F36CE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D67D5C">
        <w:rPr>
          <w:b/>
          <w:bCs/>
        </w:rPr>
        <w:t xml:space="preserve">Prihodi od poreza na imovinu </w:t>
      </w:r>
      <w:r>
        <w:t>unutar kojih je planiran prihod</w:t>
      </w:r>
      <w:r w:rsidRPr="00D67D5C">
        <w:t xml:space="preserve"> </w:t>
      </w:r>
      <w:r>
        <w:t xml:space="preserve">od poreza na promet nekretnina u iznosu od </w:t>
      </w:r>
      <w:r w:rsidR="0046426C">
        <w:t>1</w:t>
      </w:r>
      <w:r w:rsidR="00F218A6">
        <w:t>.</w:t>
      </w:r>
      <w:r w:rsidR="00955C9C">
        <w:t>200</w:t>
      </w:r>
      <w:r w:rsidR="00F218A6">
        <w:t>.000</w:t>
      </w:r>
      <w:r>
        <w:t xml:space="preserve"> </w:t>
      </w:r>
      <w:r w:rsidR="00994C7A">
        <w:t>eura</w:t>
      </w:r>
      <w:r>
        <w:t xml:space="preserve"> </w:t>
      </w:r>
      <w:r w:rsidRPr="00D67D5C">
        <w:t xml:space="preserve">predlažu se u iznosu od </w:t>
      </w:r>
      <w:r w:rsidR="002E3A63">
        <w:t>1.</w:t>
      </w:r>
      <w:r w:rsidR="00955C9C">
        <w:t>225</w:t>
      </w:r>
      <w:r w:rsidR="002E3A63">
        <w:t>.000</w:t>
      </w:r>
      <w:r>
        <w:t xml:space="preserve"> </w:t>
      </w:r>
      <w:r w:rsidR="00994C7A">
        <w:t>eura</w:t>
      </w:r>
      <w:r w:rsidRPr="00D67D5C">
        <w:t>, što je za</w:t>
      </w:r>
      <w:r>
        <w:t xml:space="preserve"> </w:t>
      </w:r>
      <w:r w:rsidR="00955C9C">
        <w:t>12.000</w:t>
      </w:r>
      <w:r w:rsidRPr="006D5C00">
        <w:t xml:space="preserve"> </w:t>
      </w:r>
      <w:r w:rsidR="00994C7A" w:rsidRPr="006D5C00">
        <w:t>eura</w:t>
      </w:r>
      <w:r w:rsidRPr="006D5C00">
        <w:t xml:space="preserve"> </w:t>
      </w:r>
      <w:r w:rsidR="00D47C78" w:rsidRPr="006D5C00">
        <w:t>više</w:t>
      </w:r>
      <w:r w:rsidRPr="006D5C00">
        <w:t xml:space="preserve"> u odnosu na plan za 20</w:t>
      </w:r>
      <w:r w:rsidR="00CE12A3" w:rsidRPr="006D5C00">
        <w:t>2</w:t>
      </w:r>
      <w:r w:rsidR="00955C9C">
        <w:t>3</w:t>
      </w:r>
      <w:r w:rsidRPr="006D5C00">
        <w:t>. godinu.</w:t>
      </w:r>
      <w:r w:rsidR="000C6529">
        <w:rPr>
          <w:color w:val="FF0000"/>
        </w:rPr>
        <w:t xml:space="preserve"> </w:t>
      </w:r>
      <w:r w:rsidR="002173FB">
        <w:t xml:space="preserve">U ovoj skupini prihoda planiran je i porez na kuće za odmor u iznosu od </w:t>
      </w:r>
      <w:r w:rsidR="00955C9C">
        <w:t>25</w:t>
      </w:r>
      <w:r w:rsidR="008B7379">
        <w:t>.000</w:t>
      </w:r>
      <w:r w:rsidR="002173FB">
        <w:t xml:space="preserve"> </w:t>
      </w:r>
      <w:r w:rsidR="00994C7A">
        <w:t>eura</w:t>
      </w:r>
      <w:r w:rsidR="002173FB">
        <w:t>.</w:t>
      </w:r>
    </w:p>
    <w:p w14:paraId="23171B94" w14:textId="5D38AA05" w:rsidR="003D1AFE" w:rsidRDefault="003D1AFE" w:rsidP="007613FD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D67D5C">
        <w:rPr>
          <w:b/>
          <w:iCs/>
        </w:rPr>
        <w:t>Porezi na robu i usluge</w:t>
      </w:r>
      <w:r w:rsidRPr="00D67D5C">
        <w:rPr>
          <w:i/>
          <w:iCs/>
        </w:rPr>
        <w:t xml:space="preserve"> </w:t>
      </w:r>
      <w:r w:rsidRPr="00D67D5C">
        <w:t xml:space="preserve">planirani su u iznosu od </w:t>
      </w:r>
      <w:r w:rsidR="00955C9C">
        <w:t>271.000</w:t>
      </w:r>
      <w:r>
        <w:t xml:space="preserve"> </w:t>
      </w:r>
      <w:r w:rsidR="00994C7A">
        <w:t>eura</w:t>
      </w:r>
      <w:r>
        <w:t>, a odnos</w:t>
      </w:r>
      <w:r w:rsidR="0041657D">
        <w:t>e</w:t>
      </w:r>
      <w:r>
        <w:t xml:space="preserve"> se na </w:t>
      </w:r>
      <w:r w:rsidRPr="00D67D5C">
        <w:t>porez na p</w:t>
      </w:r>
      <w:r>
        <w:t xml:space="preserve">otrošnju koji je planiran u iznosu od </w:t>
      </w:r>
      <w:r w:rsidR="00955C9C">
        <w:t>270</w:t>
      </w:r>
      <w:r w:rsidR="009A1C0A">
        <w:t>.000</w:t>
      </w:r>
      <w:r>
        <w:t xml:space="preserve"> </w:t>
      </w:r>
      <w:r w:rsidR="00994C7A">
        <w:t>eura</w:t>
      </w:r>
      <w:r w:rsidR="00523C9C">
        <w:t xml:space="preserve"> </w:t>
      </w:r>
      <w:r w:rsidR="00375A87">
        <w:t xml:space="preserve">i na </w:t>
      </w:r>
      <w:r>
        <w:t>porez na tvrtku</w:t>
      </w:r>
      <w:r w:rsidR="00375A87">
        <w:t xml:space="preserve"> koji je planiran </w:t>
      </w:r>
      <w:r>
        <w:t xml:space="preserve">u iznosu od </w:t>
      </w:r>
      <w:r w:rsidR="00A62F0C">
        <w:t>1.000</w:t>
      </w:r>
      <w:r>
        <w:t xml:space="preserve"> </w:t>
      </w:r>
      <w:r w:rsidR="00994C7A">
        <w:t>eura</w:t>
      </w:r>
      <w:r w:rsidR="002E2F0F">
        <w:t xml:space="preserve"> </w:t>
      </w:r>
      <w:r w:rsidR="007D44FF">
        <w:t>(</w:t>
      </w:r>
      <w:r w:rsidRPr="00A8415E">
        <w:rPr>
          <w:shd w:val="clear" w:color="auto" w:fill="FFFFFF"/>
        </w:rPr>
        <w:t xml:space="preserve">ukinut </w:t>
      </w:r>
      <w:r>
        <w:rPr>
          <w:shd w:val="clear" w:color="auto" w:fill="FFFFFF"/>
        </w:rPr>
        <w:t>2017. godin</w:t>
      </w:r>
      <w:r w:rsidR="002E2F0F">
        <w:rPr>
          <w:shd w:val="clear" w:color="auto" w:fill="FFFFFF"/>
        </w:rPr>
        <w:t>e</w:t>
      </w:r>
      <w:r w:rsidR="007D44FF">
        <w:rPr>
          <w:shd w:val="clear" w:color="auto" w:fill="FFFFFF"/>
        </w:rPr>
        <w:t>)</w:t>
      </w:r>
      <w:r>
        <w:rPr>
          <w:shd w:val="clear" w:color="auto" w:fill="FFFFFF"/>
        </w:rPr>
        <w:t xml:space="preserve">, ali zbog uplata koje još dolaze planira se </w:t>
      </w:r>
      <w:r w:rsidR="0000111D">
        <w:rPr>
          <w:shd w:val="clear" w:color="auto" w:fill="FFFFFF"/>
        </w:rPr>
        <w:t xml:space="preserve">u malom iznosu </w:t>
      </w:r>
      <w:r>
        <w:rPr>
          <w:shd w:val="clear" w:color="auto" w:fill="FFFFFF"/>
        </w:rPr>
        <w:t xml:space="preserve">i u idućoj godini. </w:t>
      </w:r>
    </w:p>
    <w:p w14:paraId="25A394F9" w14:textId="77777777" w:rsidR="003D1AFE" w:rsidRDefault="003D1AFE" w:rsidP="007613FD">
      <w:pPr>
        <w:tabs>
          <w:tab w:val="left" w:pos="0"/>
          <w:tab w:val="left" w:pos="1080"/>
        </w:tabs>
        <w:autoSpaceDE w:val="0"/>
        <w:autoSpaceDN w:val="0"/>
        <w:adjustRightInd w:val="0"/>
        <w:jc w:val="both"/>
        <w:rPr>
          <w:bCs/>
        </w:rPr>
      </w:pPr>
    </w:p>
    <w:p w14:paraId="0CCA47E9" w14:textId="0815D091" w:rsidR="00A41BF1" w:rsidRDefault="007D7D5B" w:rsidP="007613FD">
      <w:pPr>
        <w:pStyle w:val="Heading3"/>
        <w:spacing w:before="0" w:after="0"/>
      </w:pPr>
      <w:r>
        <w:t>POMOĆI IZ INOZEMSTVA (DAROVNICE) I OD SUBJEKATA UNUTAR OPĆE</w:t>
      </w:r>
      <w:r w:rsidR="0041106E">
        <w:t>G</w:t>
      </w:r>
      <w:r>
        <w:t xml:space="preserve"> </w:t>
      </w:r>
      <w:r w:rsidR="0041106E">
        <w:t>PRORAČUNA</w:t>
      </w:r>
    </w:p>
    <w:p w14:paraId="47355DA8" w14:textId="77777777" w:rsidR="00A41BF1" w:rsidRDefault="00A41BF1" w:rsidP="007613FD">
      <w:pPr>
        <w:tabs>
          <w:tab w:val="left" w:pos="1260"/>
        </w:tabs>
        <w:ind w:left="720"/>
        <w:rPr>
          <w:sz w:val="22"/>
          <w:szCs w:val="22"/>
        </w:rPr>
      </w:pPr>
    </w:p>
    <w:p w14:paraId="6127FFEF" w14:textId="6D50FFD2" w:rsidR="003D1AFE" w:rsidRDefault="003D1AFE" w:rsidP="007613FD">
      <w:pPr>
        <w:ind w:firstLine="708"/>
        <w:jc w:val="both"/>
      </w:pPr>
      <w:r>
        <w:rPr>
          <w:sz w:val="23"/>
          <w:szCs w:val="23"/>
        </w:rPr>
        <w:t xml:space="preserve">Navedeni se prihodi planiraju u iznosu </w:t>
      </w:r>
      <w:r w:rsidR="00632575">
        <w:rPr>
          <w:sz w:val="23"/>
          <w:szCs w:val="23"/>
        </w:rPr>
        <w:t>većem</w:t>
      </w:r>
      <w:r w:rsidR="00CB7B24">
        <w:rPr>
          <w:sz w:val="23"/>
          <w:szCs w:val="23"/>
        </w:rPr>
        <w:t xml:space="preserve"> za </w:t>
      </w:r>
      <w:r w:rsidR="00FF351E" w:rsidRPr="00FF351E">
        <w:rPr>
          <w:sz w:val="23"/>
          <w:szCs w:val="23"/>
        </w:rPr>
        <w:t>6.497.973</w:t>
      </w:r>
      <w:r w:rsidR="00FF351E">
        <w:rPr>
          <w:sz w:val="23"/>
          <w:szCs w:val="23"/>
        </w:rPr>
        <w:t xml:space="preserve"> </w:t>
      </w:r>
      <w:r w:rsidR="00994C7A">
        <w:rPr>
          <w:sz w:val="23"/>
          <w:szCs w:val="23"/>
        </w:rPr>
        <w:t>eura</w:t>
      </w:r>
      <w:r>
        <w:rPr>
          <w:sz w:val="23"/>
          <w:szCs w:val="23"/>
        </w:rPr>
        <w:t xml:space="preserve"> u </w:t>
      </w:r>
      <w:r w:rsidRPr="005E7CFA">
        <w:rPr>
          <w:sz w:val="23"/>
          <w:szCs w:val="23"/>
        </w:rPr>
        <w:t xml:space="preserve">odnosu na planirano </w:t>
      </w:r>
      <w:r w:rsidR="00632575">
        <w:rPr>
          <w:sz w:val="23"/>
          <w:szCs w:val="23"/>
        </w:rPr>
        <w:t>D</w:t>
      </w:r>
      <w:r w:rsidR="005E7CFA">
        <w:rPr>
          <w:sz w:val="23"/>
          <w:szCs w:val="23"/>
        </w:rPr>
        <w:t xml:space="preserve">rugim </w:t>
      </w:r>
      <w:r w:rsidR="00632575">
        <w:rPr>
          <w:sz w:val="23"/>
          <w:szCs w:val="23"/>
        </w:rPr>
        <w:t>i</w:t>
      </w:r>
      <w:r w:rsidR="005E7CFA">
        <w:rPr>
          <w:sz w:val="23"/>
          <w:szCs w:val="23"/>
        </w:rPr>
        <w:t xml:space="preserve">zmjenama i dopunama </w:t>
      </w:r>
      <w:r w:rsidRPr="005E7CFA">
        <w:rPr>
          <w:sz w:val="23"/>
          <w:szCs w:val="23"/>
        </w:rPr>
        <w:t>proraču</w:t>
      </w:r>
      <w:r w:rsidR="005E7CFA">
        <w:rPr>
          <w:sz w:val="23"/>
          <w:szCs w:val="23"/>
        </w:rPr>
        <w:t>na</w:t>
      </w:r>
      <w:r w:rsidRPr="005E7CFA">
        <w:rPr>
          <w:sz w:val="23"/>
          <w:szCs w:val="23"/>
        </w:rPr>
        <w:t xml:space="preserve"> za 20</w:t>
      </w:r>
      <w:r w:rsidR="00707713" w:rsidRPr="005E7CFA">
        <w:rPr>
          <w:sz w:val="23"/>
          <w:szCs w:val="23"/>
        </w:rPr>
        <w:t>2</w:t>
      </w:r>
      <w:r w:rsidR="00632575">
        <w:rPr>
          <w:sz w:val="23"/>
          <w:szCs w:val="23"/>
        </w:rPr>
        <w:t>3</w:t>
      </w:r>
      <w:r w:rsidRPr="005E7CFA">
        <w:rPr>
          <w:sz w:val="23"/>
          <w:szCs w:val="23"/>
        </w:rPr>
        <w:t xml:space="preserve">. godinu, a iznose </w:t>
      </w:r>
      <w:r w:rsidR="00632575">
        <w:rPr>
          <w:sz w:val="23"/>
          <w:szCs w:val="23"/>
        </w:rPr>
        <w:t>40.7</w:t>
      </w:r>
      <w:r w:rsidR="00FF351E">
        <w:rPr>
          <w:sz w:val="23"/>
          <w:szCs w:val="23"/>
        </w:rPr>
        <w:t>9</w:t>
      </w:r>
      <w:r w:rsidR="00632575">
        <w:rPr>
          <w:sz w:val="23"/>
          <w:szCs w:val="23"/>
        </w:rPr>
        <w:t>0.</w:t>
      </w:r>
      <w:r w:rsidR="00FF351E">
        <w:rPr>
          <w:sz w:val="23"/>
          <w:szCs w:val="23"/>
        </w:rPr>
        <w:t>2</w:t>
      </w:r>
      <w:r w:rsidR="00632575">
        <w:rPr>
          <w:sz w:val="23"/>
          <w:szCs w:val="23"/>
        </w:rPr>
        <w:t>72</w:t>
      </w:r>
      <w:r w:rsidRPr="005E7CFA">
        <w:rPr>
          <w:sz w:val="23"/>
          <w:szCs w:val="23"/>
        </w:rPr>
        <w:t xml:space="preserve"> </w:t>
      </w:r>
      <w:r w:rsidR="00994C7A" w:rsidRPr="005E7CFA">
        <w:rPr>
          <w:sz w:val="23"/>
          <w:szCs w:val="23"/>
        </w:rPr>
        <w:t>eura</w:t>
      </w:r>
      <w:r w:rsidRPr="005E7CF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56926F01" w14:textId="75FB2234" w:rsidR="003D1AFE" w:rsidRDefault="003D1AFE" w:rsidP="007613FD">
      <w:pPr>
        <w:autoSpaceDE w:val="0"/>
        <w:autoSpaceDN w:val="0"/>
        <w:adjustRightInd w:val="0"/>
        <w:ind w:firstLine="708"/>
        <w:jc w:val="both"/>
      </w:pPr>
      <w:r>
        <w:t>U strukturi ukupno planiranih prihoda i primitaka u 202</w:t>
      </w:r>
      <w:r w:rsidR="00632575">
        <w:t>4</w:t>
      </w:r>
      <w:r>
        <w:t xml:space="preserve">.godini pomoći čine </w:t>
      </w:r>
      <w:r w:rsidR="00632575">
        <w:t>42,8</w:t>
      </w:r>
      <w:r w:rsidR="00FF351E">
        <w:t>2</w:t>
      </w:r>
      <w:r>
        <w:t xml:space="preserve">%. </w:t>
      </w:r>
    </w:p>
    <w:p w14:paraId="4AB96AE1" w14:textId="77777777" w:rsidR="003D1AFE" w:rsidRDefault="003D1AFE" w:rsidP="007613F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0A7AFA28" w14:textId="0E2146FD" w:rsidR="003D1AFE" w:rsidRDefault="003D1AFE" w:rsidP="007613FD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Pomoći od međunarodnih organizacija te institucija i tijela EU </w:t>
      </w:r>
      <w:r>
        <w:t xml:space="preserve">planirane su u iznosu </w:t>
      </w:r>
      <w:r w:rsidR="00EC3C7B">
        <w:t xml:space="preserve">od </w:t>
      </w:r>
      <w:r w:rsidR="00632575">
        <w:t>49.638</w:t>
      </w:r>
      <w:r w:rsidR="007D0A67">
        <w:t xml:space="preserve"> </w:t>
      </w:r>
      <w:r w:rsidR="00994C7A">
        <w:t>eura</w:t>
      </w:r>
      <w:r>
        <w:t xml:space="preserve">, a odnose </w:t>
      </w:r>
      <w:r w:rsidR="00985EC4">
        <w:t xml:space="preserve">se </w:t>
      </w:r>
      <w:r>
        <w:t xml:space="preserve">na sredstva namijenjena </w:t>
      </w:r>
      <w:r w:rsidR="00A84ED7">
        <w:t>projekt</w:t>
      </w:r>
      <w:r w:rsidR="00985EC4">
        <w:t>u</w:t>
      </w:r>
      <w:r w:rsidR="005A0894">
        <w:t xml:space="preserve"> </w:t>
      </w:r>
      <w:r w:rsidR="00957BF2">
        <w:t>We Join</w:t>
      </w:r>
      <w:r w:rsidR="005A0894">
        <w:t xml:space="preserve"> Forces </w:t>
      </w:r>
      <w:r w:rsidR="00A84C86">
        <w:t>for the Green Future</w:t>
      </w:r>
      <w:r w:rsidR="00985EC4">
        <w:t xml:space="preserve"> u iznosu od 28.638 eura te sredstva za projekt PREP4KaGT-1 u iznosu od 21.000 eura.</w:t>
      </w:r>
    </w:p>
    <w:p w14:paraId="4727A4A4" w14:textId="1420B9C2" w:rsidR="00A41BF1" w:rsidRDefault="007D7D5B" w:rsidP="007613FD">
      <w:pPr>
        <w:ind w:firstLine="708"/>
        <w:jc w:val="both"/>
      </w:pPr>
      <w:r>
        <w:rPr>
          <w:b/>
        </w:rPr>
        <w:t>Pomoći proračunu iz drugih proračuna</w:t>
      </w:r>
      <w:r>
        <w:t xml:space="preserve"> (državnog, županijskog i gradskog)</w:t>
      </w:r>
      <w:r>
        <w:rPr>
          <w:b/>
        </w:rPr>
        <w:t xml:space="preserve"> </w:t>
      </w:r>
      <w:r>
        <w:t xml:space="preserve">procijenjene su u ukupno planiranom  iznosu od </w:t>
      </w:r>
      <w:r w:rsidR="00985EC4">
        <w:t>1.9</w:t>
      </w:r>
      <w:r w:rsidR="00FF351E">
        <w:t>6</w:t>
      </w:r>
      <w:r w:rsidR="00985EC4">
        <w:t>5.</w:t>
      </w:r>
      <w:r w:rsidR="00FF351E">
        <w:t>232</w:t>
      </w:r>
      <w:r>
        <w:t xml:space="preserve"> </w:t>
      </w:r>
      <w:r w:rsidR="00994C7A">
        <w:t>eura</w:t>
      </w:r>
      <w:r>
        <w:t xml:space="preserve"> što je </w:t>
      </w:r>
      <w:r w:rsidRPr="005E7CFA">
        <w:t xml:space="preserve">za </w:t>
      </w:r>
      <w:r w:rsidR="00FF351E">
        <w:t>366.801</w:t>
      </w:r>
      <w:r w:rsidR="00985EC4">
        <w:t xml:space="preserve"> </w:t>
      </w:r>
      <w:r w:rsidR="00994C7A" w:rsidRPr="005E7CFA">
        <w:t>eura</w:t>
      </w:r>
      <w:r w:rsidRPr="005E7CFA">
        <w:t xml:space="preserve"> ili za </w:t>
      </w:r>
      <w:r w:rsidR="00985EC4">
        <w:t>2</w:t>
      </w:r>
      <w:r w:rsidR="00FF351E">
        <w:t>2</w:t>
      </w:r>
      <w:r w:rsidR="00985EC4">
        <w:t>,</w:t>
      </w:r>
      <w:r w:rsidR="00FF351E">
        <w:t>95</w:t>
      </w:r>
      <w:r w:rsidR="00936E91" w:rsidRPr="005E7CFA">
        <w:t>%</w:t>
      </w:r>
      <w:r w:rsidRPr="005E7CFA">
        <w:t xml:space="preserve"> </w:t>
      </w:r>
      <w:r w:rsidR="00985EC4">
        <w:t>više</w:t>
      </w:r>
      <w:r w:rsidRPr="005E7CFA">
        <w:t xml:space="preserve"> u odnosu na planirano </w:t>
      </w:r>
      <w:r w:rsidR="00985EC4">
        <w:t>D</w:t>
      </w:r>
      <w:r w:rsidR="00936E91" w:rsidRPr="005E7CFA">
        <w:t>rugim</w:t>
      </w:r>
      <w:r w:rsidRPr="005E7CFA">
        <w:t xml:space="preserve"> </w:t>
      </w:r>
      <w:r w:rsidR="00985EC4">
        <w:t>i</w:t>
      </w:r>
      <w:r w:rsidRPr="005E7CFA">
        <w:t>zmjenama i dopunama plana za 20</w:t>
      </w:r>
      <w:r w:rsidR="004331D6" w:rsidRPr="005E7CFA">
        <w:t>2</w:t>
      </w:r>
      <w:r w:rsidR="00985EC4">
        <w:t>3</w:t>
      </w:r>
      <w:r w:rsidRPr="005E7CFA">
        <w:t>. godinu.</w:t>
      </w:r>
      <w:r>
        <w:t xml:space="preserve"> </w:t>
      </w:r>
    </w:p>
    <w:p w14:paraId="52A0F0B7" w14:textId="76B58AF5" w:rsidR="005C23DD" w:rsidRDefault="007D7D5B" w:rsidP="007613FD">
      <w:pPr>
        <w:ind w:firstLine="708"/>
        <w:jc w:val="both"/>
      </w:pPr>
      <w:r>
        <w:t xml:space="preserve">U strukturi </w:t>
      </w:r>
      <w:r w:rsidR="007E0E52">
        <w:t xml:space="preserve">ove skupine </w:t>
      </w:r>
      <w:r>
        <w:t>pomoći najveći dio se odnosi na pomoći iz</w:t>
      </w:r>
      <w:r w:rsidR="00306AED">
        <w:t xml:space="preserve"> Ministarstva </w:t>
      </w:r>
      <w:r w:rsidR="005C23DD">
        <w:t xml:space="preserve">znanosti i obrazovanja za fiskalnu održivost dječjih vrtića za što je planirano 471.176 eura. Za Teniski centar planirano je 320.000 eura pomoći iz </w:t>
      </w:r>
      <w:r w:rsidR="005C23DD" w:rsidRPr="005C23DD">
        <w:t>Ministarstva turizma i sporta</w:t>
      </w:r>
      <w:r w:rsidR="005C23DD">
        <w:t xml:space="preserve">, dok se na pomoći </w:t>
      </w:r>
      <w:r w:rsidR="005C23DD" w:rsidRPr="005C23DD">
        <w:t>iz Nacionalnog plana oporavka i otpornosti</w:t>
      </w:r>
      <w:r w:rsidR="005C23DD">
        <w:t xml:space="preserve"> za osnovnu školu Luščić odnosi 280.000 eura. Za izbore u narednoj godin</w:t>
      </w:r>
      <w:r w:rsidR="002A2F92">
        <w:t>i</w:t>
      </w:r>
      <w:r w:rsidR="005C23DD">
        <w:t xml:space="preserve"> planirano je ukupno 430.000 eura pomoći iz državnog proračuna, i to 150.000 eura za parlamentarne izbore, 150.000 eura za i</w:t>
      </w:r>
      <w:r w:rsidR="005C23DD" w:rsidRPr="005C23DD">
        <w:t>zbor</w:t>
      </w:r>
      <w:r w:rsidR="005C23DD">
        <w:t>e</w:t>
      </w:r>
      <w:r w:rsidR="005C23DD" w:rsidRPr="005C23DD">
        <w:t xml:space="preserve"> za Europski parlament</w:t>
      </w:r>
      <w:r w:rsidR="005C23DD">
        <w:t xml:space="preserve"> te 130.000 eura za predsjedničke izbore. Iz Ministarstva znanosti i obrazovanja planirano je 42.834 eura pomoći za sufinanciranje privatnih vrtića, za projekt Pomoćnici u nastavi VI 28.477 eura, dok </w:t>
      </w:r>
      <w:r w:rsidR="005C23DD">
        <w:lastRenderedPageBreak/>
        <w:t xml:space="preserve">je za pomoći </w:t>
      </w:r>
      <w:r w:rsidR="00EC342F">
        <w:t>za OŠ</w:t>
      </w:r>
      <w:r w:rsidR="005C23DD">
        <w:t xml:space="preserve"> Dragojla Jarnević planiran iznos od 1.835 eura.</w:t>
      </w:r>
      <w:r w:rsidR="00A10118">
        <w:t xml:space="preserve"> Iz Ministarstva regionalnog razvoja i fondova EU</w:t>
      </w:r>
      <w:r w:rsidR="00A10118" w:rsidRPr="00A10118">
        <w:t xml:space="preserve"> </w:t>
      </w:r>
      <w:r w:rsidR="00A10118">
        <w:t>planirano je 40.361 eura za fotonaponske elektrane,</w:t>
      </w:r>
      <w:r w:rsidR="00A10118" w:rsidRPr="00A10118">
        <w:t xml:space="preserve"> </w:t>
      </w:r>
      <w:r w:rsidR="00A10118">
        <w:t>a za projekt PREP4KaGT-1 1.000 eura</w:t>
      </w:r>
      <w:r w:rsidR="00EF6DBB">
        <w:t>,</w:t>
      </w:r>
      <w:r w:rsidR="00A10118" w:rsidRPr="00A10118">
        <w:t xml:space="preserve"> </w:t>
      </w:r>
      <w:r w:rsidR="00A10118">
        <w:t>dok se na</w:t>
      </w:r>
      <w:r w:rsidR="00EF6DBB">
        <w:t xml:space="preserve"> projekt</w:t>
      </w:r>
      <w:r w:rsidR="00A10118">
        <w:t xml:space="preserve"> ZEB4ZEN odnosi 27.049 eura. Također, iz </w:t>
      </w:r>
      <w:r w:rsidR="00A10118" w:rsidRPr="00A10118">
        <w:t>Ministarstv</w:t>
      </w:r>
      <w:r w:rsidR="00A10118">
        <w:t>a</w:t>
      </w:r>
      <w:r w:rsidR="00A10118" w:rsidRPr="00A10118">
        <w:t xml:space="preserve"> rada, mirovinskog sustava, obitelji i socijalne politike</w:t>
      </w:r>
      <w:r w:rsidR="00A10118">
        <w:t xml:space="preserve"> planirana su sredstva </w:t>
      </w:r>
      <w:r w:rsidR="00EC342F">
        <w:t xml:space="preserve">za korisnike </w:t>
      </w:r>
      <w:r w:rsidR="00A10118">
        <w:t>zajamčene minimalne naknade u iznosu od 77.000 eura</w:t>
      </w:r>
      <w:r w:rsidR="00B53AD7">
        <w:t xml:space="preserve"> </w:t>
      </w:r>
      <w:r w:rsidR="00F16185">
        <w:t>dok je iz</w:t>
      </w:r>
      <w:r w:rsidR="00EC342F">
        <w:t xml:space="preserve"> </w:t>
      </w:r>
      <w:r w:rsidR="00B53AD7" w:rsidRPr="00B53AD7">
        <w:t>Središnj</w:t>
      </w:r>
      <w:r w:rsidR="00B53AD7">
        <w:t>eg</w:t>
      </w:r>
      <w:r w:rsidR="00B53AD7" w:rsidRPr="00B53AD7">
        <w:t xml:space="preserve"> državn</w:t>
      </w:r>
      <w:r w:rsidR="00B53AD7">
        <w:t>og</w:t>
      </w:r>
      <w:r w:rsidR="00B53AD7" w:rsidRPr="00B53AD7">
        <w:t xml:space="preserve"> ured</w:t>
      </w:r>
      <w:r w:rsidR="00B53AD7">
        <w:t>a</w:t>
      </w:r>
      <w:r w:rsidR="00B53AD7" w:rsidRPr="00B53AD7">
        <w:t xml:space="preserve"> za demografiju i mlade</w:t>
      </w:r>
      <w:r w:rsidR="00B53AD7">
        <w:t xml:space="preserve"> </w:t>
      </w:r>
      <w:r w:rsidR="00F16185">
        <w:t xml:space="preserve">planiran iznos </w:t>
      </w:r>
      <w:r w:rsidR="00B53AD7">
        <w:t xml:space="preserve">od 29.500 eura za igralište Dječjeg vrtića Banija. </w:t>
      </w:r>
    </w:p>
    <w:p w14:paraId="3E8652A5" w14:textId="719EC83A" w:rsidR="00A10118" w:rsidRDefault="00FB6561" w:rsidP="007613FD">
      <w:pPr>
        <w:ind w:firstLine="708"/>
        <w:jc w:val="both"/>
      </w:pPr>
      <w:r>
        <w:t>U 202</w:t>
      </w:r>
      <w:r w:rsidR="00A10118">
        <w:t>4</w:t>
      </w:r>
      <w:r>
        <w:t xml:space="preserve">. godini planirano je </w:t>
      </w:r>
      <w:r w:rsidR="00A10118">
        <w:t>52.000</w:t>
      </w:r>
      <w:r>
        <w:t xml:space="preserve"> </w:t>
      </w:r>
      <w:r w:rsidR="00994C7A">
        <w:t>eura</w:t>
      </w:r>
      <w:r>
        <w:t xml:space="preserve"> pomoći iz županijskog proračuna namijenjenih </w:t>
      </w:r>
      <w:r w:rsidR="00D62722">
        <w:t>sanaciji šteta nastalih uslijed potresa koji je krajem 2020. godine pogodio Karlovačku županiju</w:t>
      </w:r>
      <w:r w:rsidR="00A10118">
        <w:t xml:space="preserve"> te 164.000 eura </w:t>
      </w:r>
      <w:r w:rsidR="00EC342F">
        <w:t xml:space="preserve">zaostataka </w:t>
      </w:r>
      <w:r w:rsidR="00A10118">
        <w:t>kapitalnih pomoći za parkiralište u sklopu Nikola Tesla poduzetničkog centra.</w:t>
      </w:r>
    </w:p>
    <w:p w14:paraId="4A691BC9" w14:textId="47972312" w:rsidR="002E2CE9" w:rsidRDefault="007D7D5B" w:rsidP="002E2CE9">
      <w:pPr>
        <w:ind w:firstLine="708"/>
        <w:jc w:val="both"/>
      </w:pPr>
      <w:r w:rsidRPr="001443B8">
        <w:rPr>
          <w:b/>
        </w:rPr>
        <w:t xml:space="preserve">Pomoći od izvanproračunskih korisnika </w:t>
      </w:r>
      <w:r w:rsidRPr="001443B8">
        <w:t>planirane</w:t>
      </w:r>
      <w:r>
        <w:t xml:space="preserve"> su u iznosu od </w:t>
      </w:r>
      <w:r w:rsidR="002E2CE9">
        <w:t>1.1</w:t>
      </w:r>
      <w:r w:rsidR="00893EAA">
        <w:t>26</w:t>
      </w:r>
      <w:r w:rsidR="002E2CE9">
        <w:t>.510</w:t>
      </w:r>
      <w:r>
        <w:t xml:space="preserve"> </w:t>
      </w:r>
      <w:r w:rsidR="00994C7A">
        <w:t>eura</w:t>
      </w:r>
      <w:r>
        <w:t xml:space="preserve"> i </w:t>
      </w:r>
      <w:r w:rsidR="007036D2" w:rsidRPr="00375A87">
        <w:t>manje</w:t>
      </w:r>
      <w:r w:rsidRPr="00375A87">
        <w:t xml:space="preserve"> su za </w:t>
      </w:r>
      <w:r w:rsidR="007036D2" w:rsidRPr="00375A87">
        <w:t>1</w:t>
      </w:r>
      <w:r w:rsidRPr="00375A87">
        <w:t xml:space="preserve"> mil. </w:t>
      </w:r>
      <w:r w:rsidR="00994C7A" w:rsidRPr="00375A87">
        <w:t>eura</w:t>
      </w:r>
      <w:r w:rsidRPr="00375A87">
        <w:t xml:space="preserve"> u odnosu na planirani iznos ovih pomoći u </w:t>
      </w:r>
      <w:r w:rsidR="00375A87">
        <w:t xml:space="preserve">tekućem </w:t>
      </w:r>
      <w:r w:rsidRPr="00375A87">
        <w:t>proračunu za 20</w:t>
      </w:r>
      <w:r w:rsidR="000169BC" w:rsidRPr="00375A87">
        <w:t>2</w:t>
      </w:r>
      <w:r w:rsidR="002E2CE9">
        <w:t>3</w:t>
      </w:r>
      <w:r w:rsidRPr="00375A87">
        <w:t>. godinu.</w:t>
      </w:r>
      <w:r>
        <w:t xml:space="preserve"> Planirani iznos ovih pomoći od </w:t>
      </w:r>
      <w:r w:rsidR="00823E72">
        <w:t>1,1</w:t>
      </w:r>
      <w:r>
        <w:t xml:space="preserve"> mil. </w:t>
      </w:r>
      <w:r w:rsidR="00994C7A">
        <w:t>eura</w:t>
      </w:r>
      <w:r>
        <w:t xml:space="preserve"> odnosi se na </w:t>
      </w:r>
      <w:r w:rsidR="002E2CE9">
        <w:t>pomoći od Županijske uprave za ceste planirane u iznosu od 603.270 eura, a sredstva su namijenjena održavanju nerazvrstanih cesta, dok su pomoći Hrvatskih voda za projekt Karlovac II planirane u iznosu od 350.000 eura.</w:t>
      </w:r>
    </w:p>
    <w:p w14:paraId="52C958F2" w14:textId="3791DE21" w:rsidR="00A41BF1" w:rsidRDefault="00AE1DD3" w:rsidP="007613FD">
      <w:pPr>
        <w:tabs>
          <w:tab w:val="left" w:pos="720"/>
        </w:tabs>
        <w:jc w:val="both"/>
      </w:pPr>
      <w:r>
        <w:t>K</w:t>
      </w:r>
      <w:r w:rsidR="00B6282A">
        <w:t xml:space="preserve">apitalne </w:t>
      </w:r>
      <w:r w:rsidR="00F0697E">
        <w:t xml:space="preserve">pomoći </w:t>
      </w:r>
      <w:r w:rsidR="00DC2BE0">
        <w:t xml:space="preserve">iz Fonda </w:t>
      </w:r>
      <w:r w:rsidR="002E2CE9">
        <w:t xml:space="preserve">za zaštitu okoliša </w:t>
      </w:r>
      <w:r w:rsidR="002E2CE9" w:rsidRPr="002E2CE9">
        <w:t xml:space="preserve">i energetsku učinkovitost </w:t>
      </w:r>
      <w:r w:rsidR="00583AEC">
        <w:t xml:space="preserve">za </w:t>
      </w:r>
      <w:r w:rsidR="001D6F0B">
        <w:t xml:space="preserve"> izgradnju nove kazeta na </w:t>
      </w:r>
      <w:r w:rsidR="00583AEC">
        <w:t xml:space="preserve"> odlagališt</w:t>
      </w:r>
      <w:r w:rsidR="001D6F0B">
        <w:t>u</w:t>
      </w:r>
      <w:r w:rsidR="00583AEC">
        <w:t xml:space="preserve"> Ilovac </w:t>
      </w:r>
      <w:r w:rsidR="00784B8E">
        <w:t xml:space="preserve">planirane </w:t>
      </w:r>
      <w:r w:rsidR="002E4B8D">
        <w:t xml:space="preserve">u iznosu od </w:t>
      </w:r>
      <w:r w:rsidR="00823E72">
        <w:t>1</w:t>
      </w:r>
      <w:r w:rsidR="002E2CE9">
        <w:t>24.200</w:t>
      </w:r>
      <w:r w:rsidR="002E4B8D">
        <w:t xml:space="preserve"> </w:t>
      </w:r>
      <w:r w:rsidR="00994C7A">
        <w:t>eura</w:t>
      </w:r>
      <w:r>
        <w:t xml:space="preserve">, a za </w:t>
      </w:r>
      <w:r w:rsidR="002E2CE9">
        <w:t>nabavu polupodzemnih spremnika za otpad planiran je iznos od 24.000 eura</w:t>
      </w:r>
      <w:r w:rsidR="00EA3D44">
        <w:t xml:space="preserve">, dok </w:t>
      </w:r>
      <w:r w:rsidR="00466310">
        <w:t>su k</w:t>
      </w:r>
      <w:r w:rsidR="00EB24BD">
        <w:t xml:space="preserve">apitalne pomoći za energetsku obnovu Javne vatrogasne postrojbe </w:t>
      </w:r>
      <w:r w:rsidR="00466310">
        <w:t xml:space="preserve">iz navedenog Fonda </w:t>
      </w:r>
      <w:r w:rsidR="00EB24BD">
        <w:t xml:space="preserve">planirane u iznosu od </w:t>
      </w:r>
      <w:r w:rsidR="002E2CE9">
        <w:t>10.500</w:t>
      </w:r>
      <w:r w:rsidR="00EB24BD">
        <w:t xml:space="preserve"> eura. </w:t>
      </w:r>
      <w:r w:rsidR="007D7D5B">
        <w:t xml:space="preserve">Prihodi proračunskih korisnika </w:t>
      </w:r>
      <w:r w:rsidR="00466310">
        <w:t xml:space="preserve">ove skupine </w:t>
      </w:r>
      <w:r w:rsidR="007D7D5B">
        <w:t xml:space="preserve">planirani su u iznosu od </w:t>
      </w:r>
      <w:r w:rsidR="002E2CE9">
        <w:t>12.000</w:t>
      </w:r>
      <w:r w:rsidR="007D7D5B">
        <w:t xml:space="preserve"> </w:t>
      </w:r>
      <w:r w:rsidR="00994C7A">
        <w:t>eura</w:t>
      </w:r>
      <w:r w:rsidR="007D7D5B">
        <w:t xml:space="preserve">, a odnose se </w:t>
      </w:r>
      <w:r w:rsidR="002E2CE9">
        <w:t>pomoći Dječjem vrtiću Karlovac</w:t>
      </w:r>
      <w:r w:rsidR="007D7D5B">
        <w:t xml:space="preserve">. </w:t>
      </w:r>
    </w:p>
    <w:p w14:paraId="164608CD" w14:textId="6EE1616F" w:rsidR="00A41BF1" w:rsidRDefault="007D7D5B" w:rsidP="007613FD">
      <w:pPr>
        <w:ind w:firstLine="708"/>
        <w:jc w:val="both"/>
      </w:pPr>
      <w:r>
        <w:rPr>
          <w:b/>
        </w:rPr>
        <w:t xml:space="preserve">Pomoći izravnanja za decentralizirane funkcije osnovnog školstva i vatrogastva </w:t>
      </w:r>
      <w:r>
        <w:t xml:space="preserve">procijenjene su sukladno Uputama Ministarstva financija za izradu proračuna za razdoblje u ukupnom iznosu od </w:t>
      </w:r>
      <w:r w:rsidR="00F57C63">
        <w:t>1.</w:t>
      </w:r>
      <w:r w:rsidR="008E44FB">
        <w:t>641</w:t>
      </w:r>
      <w:r w:rsidR="00F57C63">
        <w:t>.</w:t>
      </w:r>
      <w:r w:rsidR="008E44FB">
        <w:t>699</w:t>
      </w:r>
      <w:r>
        <w:t xml:space="preserve"> </w:t>
      </w:r>
      <w:r w:rsidR="00994C7A">
        <w:t>eura</w:t>
      </w:r>
      <w:r>
        <w:t xml:space="preserve">, od čega se na osnovno školstvo odnosi </w:t>
      </w:r>
      <w:r w:rsidR="008E44FB">
        <w:t>906.227</w:t>
      </w:r>
      <w:r>
        <w:t xml:space="preserve"> </w:t>
      </w:r>
      <w:r w:rsidR="00994C7A">
        <w:t>eura</w:t>
      </w:r>
      <w:r>
        <w:t xml:space="preserve">, a na </w:t>
      </w:r>
      <w:r w:rsidR="00CF516B">
        <w:t>J</w:t>
      </w:r>
      <w:r>
        <w:t xml:space="preserve">avnu vatrogasnu postrojbu </w:t>
      </w:r>
      <w:r w:rsidR="008E44FB">
        <w:t>735.472</w:t>
      </w:r>
      <w:r>
        <w:t xml:space="preserve"> </w:t>
      </w:r>
      <w:r w:rsidR="00994C7A">
        <w:t>eura</w:t>
      </w:r>
      <w:r>
        <w:t xml:space="preserve">. Od toga su kapitalne pomoći za adaptaciju i dodatna ulaganja na objektima osnovnih škola planirane u iznosu od </w:t>
      </w:r>
      <w:r w:rsidR="00115C9D">
        <w:t>200.000</w:t>
      </w:r>
      <w:r>
        <w:t xml:space="preserve"> </w:t>
      </w:r>
      <w:r w:rsidR="00994C7A">
        <w:t>eura</w:t>
      </w:r>
      <w:r>
        <w:t xml:space="preserve"> što je na razini </w:t>
      </w:r>
      <w:r w:rsidR="00E034CD">
        <w:t>202</w:t>
      </w:r>
      <w:r w:rsidR="008E44FB">
        <w:t>3</w:t>
      </w:r>
      <w:r w:rsidR="00324B1E">
        <w:t>.</w:t>
      </w:r>
      <w:r>
        <w:t xml:space="preserve"> godine. </w:t>
      </w:r>
    </w:p>
    <w:p w14:paraId="441E512C" w14:textId="39423341" w:rsidR="004C6DB4" w:rsidRDefault="007D7D5B" w:rsidP="004C6DB4">
      <w:pPr>
        <w:ind w:firstLine="708"/>
        <w:jc w:val="both"/>
      </w:pPr>
      <w:r>
        <w:rPr>
          <w:b/>
        </w:rPr>
        <w:t xml:space="preserve">Pomoći proračunskim korisnicima iz proračuna koji im nije nadležan </w:t>
      </w:r>
      <w:r>
        <w:t xml:space="preserve">odnose se na prihode proračunskih korisnika, a planirane su u iznosu od </w:t>
      </w:r>
      <w:r w:rsidR="004C6DB4">
        <w:t>13.244.664</w:t>
      </w:r>
      <w:r w:rsidR="004355F2">
        <w:t xml:space="preserve"> </w:t>
      </w:r>
      <w:r w:rsidR="00994C7A">
        <w:t>eura</w:t>
      </w:r>
      <w:r>
        <w:t xml:space="preserve"> što je</w:t>
      </w:r>
      <w:r w:rsidR="004C6DB4">
        <w:t xml:space="preserve"> za </w:t>
      </w:r>
      <w:r w:rsidR="004C6DB4" w:rsidRPr="004C6DB4">
        <w:t>57.279</w:t>
      </w:r>
      <w:r w:rsidR="00DF2189">
        <w:t xml:space="preserve"> eura</w:t>
      </w:r>
      <w:r w:rsidR="004C6DB4">
        <w:t xml:space="preserve"> više u odnosu na </w:t>
      </w:r>
      <w:r w:rsidR="00664B27">
        <w:t>proračun za 202</w:t>
      </w:r>
      <w:r w:rsidR="004C6DB4">
        <w:t>3</w:t>
      </w:r>
      <w:r w:rsidR="00664B27">
        <w:t>.</w:t>
      </w:r>
      <w:r w:rsidR="0055133E">
        <w:t xml:space="preserve"> </w:t>
      </w:r>
      <w:r>
        <w:t>godin</w:t>
      </w:r>
      <w:r w:rsidR="00664B27">
        <w:t>u</w:t>
      </w:r>
      <w:r>
        <w:t xml:space="preserve">. </w:t>
      </w:r>
      <w:r w:rsidR="004C6DB4" w:rsidRPr="004C6DB4">
        <w:t>Najvećim dijelom odnose se na prihode osnovnih škola Grada Karlovca namijenjenih financiranju plaća i ostalih rashoda za zaposlene, a koji se ostvaruju iz državnog proračuna, koji su u 2024</w:t>
      </w:r>
      <w:r w:rsidR="00F556C8">
        <w:t>. godini</w:t>
      </w:r>
      <w:r w:rsidR="004C6DB4" w:rsidRPr="004C6DB4">
        <w:t xml:space="preserve"> planirani u iznosu</w:t>
      </w:r>
      <w:r w:rsidR="00546513">
        <w:t xml:space="preserve"> </w:t>
      </w:r>
      <w:r w:rsidR="004C6DB4">
        <w:t>11,4 mil.eura</w:t>
      </w:r>
    </w:p>
    <w:p w14:paraId="767C052C" w14:textId="06504729" w:rsidR="003766AD" w:rsidRDefault="007D7D5B" w:rsidP="003766AD">
      <w:pPr>
        <w:ind w:firstLine="708"/>
        <w:jc w:val="both"/>
      </w:pPr>
      <w:r w:rsidRPr="008B6675">
        <w:rPr>
          <w:b/>
        </w:rPr>
        <w:t xml:space="preserve">Pomoći temeljem prijenosa EU sredstava </w:t>
      </w:r>
      <w:r w:rsidRPr="008B6675">
        <w:t>planirane su u 202</w:t>
      </w:r>
      <w:r w:rsidR="008B6675">
        <w:t>4</w:t>
      </w:r>
      <w:r w:rsidRPr="008B6675">
        <w:t xml:space="preserve">. godini u iznosu od </w:t>
      </w:r>
      <w:r w:rsidR="008B6675">
        <w:t>22.762.529</w:t>
      </w:r>
      <w:r w:rsidR="00B14DCF" w:rsidRPr="008B6675">
        <w:t xml:space="preserve"> </w:t>
      </w:r>
      <w:r w:rsidR="00994C7A" w:rsidRPr="008B6675">
        <w:t>eura</w:t>
      </w:r>
      <w:r w:rsidRPr="008B6675">
        <w:t xml:space="preserve"> što je za </w:t>
      </w:r>
      <w:r w:rsidR="008B6675">
        <w:t>7</w:t>
      </w:r>
      <w:r w:rsidR="00215448" w:rsidRPr="008B6675">
        <w:t>,4</w:t>
      </w:r>
      <w:r w:rsidRPr="008B6675">
        <w:t xml:space="preserve"> mil.</w:t>
      </w:r>
      <w:r w:rsidR="00CC2710" w:rsidRPr="008B6675">
        <w:t xml:space="preserve"> </w:t>
      </w:r>
      <w:r w:rsidR="00994C7A" w:rsidRPr="008B6675">
        <w:t>eura</w:t>
      </w:r>
      <w:r w:rsidRPr="008B6675">
        <w:t xml:space="preserve"> </w:t>
      </w:r>
      <w:r w:rsidR="00A17255" w:rsidRPr="008B6675">
        <w:t>više</w:t>
      </w:r>
      <w:r w:rsidRPr="008B6675">
        <w:t xml:space="preserve"> u odnosu na </w:t>
      </w:r>
      <w:r w:rsidR="00213C41">
        <w:t xml:space="preserve">Druge izmjene i dopune </w:t>
      </w:r>
      <w:r w:rsidRPr="008B6675">
        <w:t>p</w:t>
      </w:r>
      <w:r w:rsidR="00213C41">
        <w:t>roračuna</w:t>
      </w:r>
      <w:r w:rsidR="00605E4B" w:rsidRPr="008B6675">
        <w:rPr>
          <w:color w:val="FF0000"/>
        </w:rPr>
        <w:t xml:space="preserve"> </w:t>
      </w:r>
      <w:r w:rsidRPr="008B6675">
        <w:t>za 20</w:t>
      </w:r>
      <w:r w:rsidR="003C024C" w:rsidRPr="008B6675">
        <w:t>2</w:t>
      </w:r>
      <w:r w:rsidR="008B6675">
        <w:t>3</w:t>
      </w:r>
      <w:r w:rsidRPr="008B6675">
        <w:t>.</w:t>
      </w:r>
      <w:r w:rsidR="000E6876" w:rsidRPr="008B6675">
        <w:t xml:space="preserve"> </w:t>
      </w:r>
      <w:r w:rsidRPr="008B6675">
        <w:t xml:space="preserve">godinu, a najvećim dijelom se odnosi na sredstva </w:t>
      </w:r>
      <w:r w:rsidR="008B6675" w:rsidRPr="008B6675">
        <w:t>Nacionalnog plana oporavka i otpornosti</w:t>
      </w:r>
      <w:r w:rsidR="008B6675">
        <w:t xml:space="preserve"> (NPOO) </w:t>
      </w:r>
      <w:r w:rsidR="008B6675" w:rsidRPr="008B6675">
        <w:t>namijenjena</w:t>
      </w:r>
      <w:r w:rsidR="008B6675">
        <w:t xml:space="preserve"> cjelovitoj obnovi objekata Grada, pa je tako za Osnovnu školu Dragojla Jarnević </w:t>
      </w:r>
      <w:r w:rsidR="008B6675" w:rsidRPr="008B6675">
        <w:t>u 202</w:t>
      </w:r>
      <w:r w:rsidR="008B6675">
        <w:t>4</w:t>
      </w:r>
      <w:r w:rsidR="008B6675" w:rsidRPr="008B6675">
        <w:t xml:space="preserve">. godini </w:t>
      </w:r>
      <w:r w:rsidR="008B6675">
        <w:t xml:space="preserve">iz NPOO-a </w:t>
      </w:r>
      <w:r w:rsidR="008B6675" w:rsidRPr="008B6675">
        <w:t xml:space="preserve">planirano </w:t>
      </w:r>
      <w:r w:rsidR="008B6675">
        <w:t>6.002.000</w:t>
      </w:r>
      <w:r w:rsidR="008B6675" w:rsidRPr="008B6675">
        <w:t xml:space="preserve"> eura</w:t>
      </w:r>
      <w:r w:rsidR="008B6675">
        <w:t xml:space="preserve">, za zgradu gradskog muzeja 3.000.000 eura, </w:t>
      </w:r>
      <w:r w:rsidR="001D6F0B">
        <w:t xml:space="preserve">za </w:t>
      </w:r>
      <w:r w:rsidR="008B6675">
        <w:t xml:space="preserve">zgradu </w:t>
      </w:r>
      <w:r w:rsidR="001D6F0B">
        <w:t xml:space="preserve">gradske uprave </w:t>
      </w:r>
      <w:r w:rsidR="008B6675">
        <w:t>na Trgu bana Josipa Jelačića 3.200.000</w:t>
      </w:r>
      <w:r w:rsidR="005226F6">
        <w:t xml:space="preserve"> eura</w:t>
      </w:r>
      <w:r w:rsidR="008B6675">
        <w:t xml:space="preserve">, </w:t>
      </w:r>
      <w:r w:rsidR="001D6F0B">
        <w:t xml:space="preserve">za </w:t>
      </w:r>
      <w:r w:rsidR="008B6675">
        <w:t xml:space="preserve">Hrvatski dom 2.500.000 eura, </w:t>
      </w:r>
      <w:r w:rsidR="001D6F0B">
        <w:t xml:space="preserve">za </w:t>
      </w:r>
      <w:r w:rsidR="008B6675">
        <w:t xml:space="preserve">zgradu KAMOD-a 2.000.000 eura, za obilaznicu Zvijezda 1.275.000 eura, prometnicu Luščić 1.275.000 eura, </w:t>
      </w:r>
      <w:r w:rsidR="003766AD">
        <w:t xml:space="preserve">izgradnju </w:t>
      </w:r>
      <w:r w:rsidR="008B6675">
        <w:t>Dječj</w:t>
      </w:r>
      <w:r w:rsidR="003766AD">
        <w:t>eg</w:t>
      </w:r>
      <w:r w:rsidR="008B6675">
        <w:t xml:space="preserve"> vrtić</w:t>
      </w:r>
      <w:r w:rsidR="003766AD">
        <w:t>a</w:t>
      </w:r>
      <w:r w:rsidR="008B6675">
        <w:t xml:space="preserve"> Luščić 972.000 eura</w:t>
      </w:r>
      <w:r w:rsidR="003766AD">
        <w:t>, a Dječjeg vrtića Rečica 317.700 eura</w:t>
      </w:r>
      <w:r w:rsidR="008B6675">
        <w:t xml:space="preserve"> te</w:t>
      </w:r>
      <w:r w:rsidR="003766AD">
        <w:t xml:space="preserve"> za</w:t>
      </w:r>
      <w:r w:rsidR="008B6675">
        <w:t xml:space="preserve"> cjelovitu obnovu </w:t>
      </w:r>
      <w:r w:rsidR="003766AD">
        <w:t xml:space="preserve">rodne kuće Slavka Mihalića </w:t>
      </w:r>
      <w:r w:rsidR="003766AD" w:rsidRPr="008B6675">
        <w:t>na adresi Gornja Gaza 3</w:t>
      </w:r>
      <w:r w:rsidR="003766AD">
        <w:t xml:space="preserve"> </w:t>
      </w:r>
      <w:r w:rsidR="001535B7">
        <w:t xml:space="preserve">iznos od </w:t>
      </w:r>
      <w:r w:rsidR="003766AD">
        <w:t>500.000 eura.</w:t>
      </w:r>
      <w:r w:rsidR="002B116F">
        <w:t xml:space="preserve"> </w:t>
      </w:r>
      <w:r w:rsidR="003766AD">
        <w:t>Za</w:t>
      </w:r>
      <w:r w:rsidR="00A36A22" w:rsidRPr="008B6675">
        <w:t xml:space="preserve"> projekt </w:t>
      </w:r>
      <w:r w:rsidR="0093550A" w:rsidRPr="008B6675">
        <w:t>f</w:t>
      </w:r>
      <w:r w:rsidR="00A36A22" w:rsidRPr="008B6675">
        <w:t>otonaponske elektrane</w:t>
      </w:r>
      <w:r w:rsidR="0093550A" w:rsidRPr="008B6675">
        <w:t xml:space="preserve"> </w:t>
      </w:r>
      <w:r w:rsidR="006116EA" w:rsidRPr="008B6675">
        <w:t>Solari</w:t>
      </w:r>
      <w:r w:rsidR="00861375" w:rsidRPr="008B6675">
        <w:t>KA</w:t>
      </w:r>
      <w:r w:rsidR="00A36A22" w:rsidRPr="008B6675">
        <w:t xml:space="preserve"> </w:t>
      </w:r>
      <w:r w:rsidR="00AB5C3A" w:rsidRPr="008B6675">
        <w:t xml:space="preserve">planiran </w:t>
      </w:r>
      <w:r w:rsidR="003766AD">
        <w:t>je u 2024. godini iznos od 346.960 eura, z</w:t>
      </w:r>
      <w:r w:rsidR="00AA11A2" w:rsidRPr="008B6675">
        <w:t>a projekt ZEB</w:t>
      </w:r>
      <w:r w:rsidR="00F27F42" w:rsidRPr="008B6675">
        <w:t xml:space="preserve">4ZEN planirano je </w:t>
      </w:r>
      <w:r w:rsidR="003766AD">
        <w:t>157.125</w:t>
      </w:r>
      <w:r w:rsidR="00F27F42" w:rsidRPr="008B6675">
        <w:t xml:space="preserve"> eura, </w:t>
      </w:r>
      <w:r w:rsidR="00F47559" w:rsidRPr="008B6675">
        <w:t xml:space="preserve">za Masterbazu grada Karlovca 63.458 eura, </w:t>
      </w:r>
      <w:r w:rsidR="003766AD">
        <w:t xml:space="preserve">dok je </w:t>
      </w:r>
      <w:r w:rsidR="006A34E6" w:rsidRPr="008B6675">
        <w:t xml:space="preserve">za projekt </w:t>
      </w:r>
      <w:r w:rsidR="003766AD" w:rsidRPr="008B6675">
        <w:t xml:space="preserve">SKOK </w:t>
      </w:r>
      <w:r w:rsidR="003766AD">
        <w:t xml:space="preserve">planiran iznos od </w:t>
      </w:r>
      <w:r w:rsidR="006A34E6" w:rsidRPr="008B6675">
        <w:t>5.973 eura</w:t>
      </w:r>
      <w:r w:rsidR="003766AD">
        <w:t>.</w:t>
      </w:r>
      <w:r w:rsidR="008C5319">
        <w:t xml:space="preserve"> </w:t>
      </w:r>
      <w:r w:rsidRPr="008B6675">
        <w:t>Sredstva</w:t>
      </w:r>
      <w:r w:rsidR="003766AD">
        <w:t xml:space="preserve"> </w:t>
      </w:r>
      <w:r w:rsidRPr="008B6675">
        <w:t xml:space="preserve">namijenjena provedbi projekta ITU planirana su u iznosu od </w:t>
      </w:r>
      <w:r w:rsidR="00A22464" w:rsidRPr="008B6675">
        <w:t>8</w:t>
      </w:r>
      <w:r w:rsidR="003766AD">
        <w:t>3</w:t>
      </w:r>
      <w:r w:rsidR="00A22464" w:rsidRPr="008B6675">
        <w:t>.</w:t>
      </w:r>
      <w:r w:rsidR="003766AD">
        <w:t>325</w:t>
      </w:r>
      <w:r w:rsidRPr="008B6675">
        <w:t xml:space="preserve"> </w:t>
      </w:r>
      <w:r w:rsidR="00994C7A" w:rsidRPr="008B6675">
        <w:t>eura</w:t>
      </w:r>
      <w:r w:rsidRPr="008B6675">
        <w:t xml:space="preserve">, a </w:t>
      </w:r>
      <w:r w:rsidR="003766AD">
        <w:t>za</w:t>
      </w:r>
      <w:r w:rsidRPr="008B6675">
        <w:t xml:space="preserve"> nastavak projekta Pomoćnici u nastavi planirano je </w:t>
      </w:r>
      <w:r w:rsidR="00A22464" w:rsidRPr="008B6675">
        <w:t>1</w:t>
      </w:r>
      <w:r w:rsidR="003766AD">
        <w:t>79</w:t>
      </w:r>
      <w:r w:rsidR="00A22464" w:rsidRPr="008B6675">
        <w:t>.</w:t>
      </w:r>
      <w:r w:rsidR="003766AD">
        <w:t>889</w:t>
      </w:r>
      <w:r w:rsidRPr="008B6675">
        <w:t xml:space="preserve"> </w:t>
      </w:r>
      <w:r w:rsidR="00994C7A" w:rsidRPr="008B6675">
        <w:t>eura</w:t>
      </w:r>
      <w:r w:rsidR="003766AD">
        <w:t>.</w:t>
      </w:r>
      <w:r w:rsidR="008C5319">
        <w:t xml:space="preserve"> Također, u ovoj skupini prihoda planirana su sredstva za projekt Park Grabrik i to u iznosu od 850.000 eura.</w:t>
      </w:r>
    </w:p>
    <w:p w14:paraId="56207932" w14:textId="153CCC08" w:rsidR="00883705" w:rsidRDefault="00F65C19" w:rsidP="001D6F0B">
      <w:pPr>
        <w:ind w:firstLine="708"/>
        <w:jc w:val="both"/>
      </w:pPr>
      <w:r w:rsidRPr="008B6675">
        <w:t xml:space="preserve">Prihodi proračunskih korisnika po ovoj osnovi iznose </w:t>
      </w:r>
      <w:r w:rsidR="008C5319">
        <w:t>34.0</w:t>
      </w:r>
      <w:r w:rsidR="00F032E5">
        <w:t>9</w:t>
      </w:r>
      <w:r w:rsidR="008C5319">
        <w:t>9</w:t>
      </w:r>
      <w:r w:rsidRPr="008B6675">
        <w:t xml:space="preserve"> </w:t>
      </w:r>
      <w:r w:rsidR="00994C7A" w:rsidRPr="008B6675">
        <w:t>eura</w:t>
      </w:r>
      <w:r w:rsidR="00F032E5">
        <w:t>,</w:t>
      </w:r>
      <w:r w:rsidR="00D075A3" w:rsidRPr="008B6675">
        <w:t xml:space="preserve"> pri čemu se najveći dio odnosi na </w:t>
      </w:r>
      <w:r w:rsidR="008C5319">
        <w:t xml:space="preserve">sredstva osnovnih škola za </w:t>
      </w:r>
      <w:r w:rsidR="008C5319" w:rsidRPr="008C5319">
        <w:t>Školsk</w:t>
      </w:r>
      <w:r w:rsidR="008C5319">
        <w:t>u</w:t>
      </w:r>
      <w:r w:rsidR="008C5319" w:rsidRPr="008C5319">
        <w:t xml:space="preserve"> shem</w:t>
      </w:r>
      <w:r w:rsidR="008C5319">
        <w:t>u,</w:t>
      </w:r>
      <w:r w:rsidR="008C5319" w:rsidRPr="008C5319">
        <w:t xml:space="preserve"> odnosno dodjel</w:t>
      </w:r>
      <w:r w:rsidR="008C5319">
        <w:t>u</w:t>
      </w:r>
      <w:r w:rsidR="008C5319" w:rsidRPr="008C5319">
        <w:t xml:space="preserve"> besplatnih obroka voća, povrća, mlijeka i mliječnih proizvoda</w:t>
      </w:r>
      <w:r w:rsidR="008C5319">
        <w:t xml:space="preserve"> za učenike osnovnih škola.</w:t>
      </w:r>
    </w:p>
    <w:p w14:paraId="414E2AAA" w14:textId="77777777" w:rsidR="00F032E5" w:rsidRDefault="00F032E5" w:rsidP="002977E5">
      <w:pPr>
        <w:jc w:val="both"/>
      </w:pPr>
    </w:p>
    <w:p w14:paraId="5A90A047" w14:textId="77777777" w:rsidR="00883705" w:rsidRDefault="00883705" w:rsidP="007613FD">
      <w:pPr>
        <w:ind w:firstLine="708"/>
        <w:jc w:val="both"/>
      </w:pPr>
    </w:p>
    <w:p w14:paraId="0BC26F65" w14:textId="77777777" w:rsidR="007C6B4A" w:rsidRDefault="007C6B4A" w:rsidP="007613FD">
      <w:pPr>
        <w:pStyle w:val="Heading3"/>
        <w:spacing w:before="0" w:after="0"/>
      </w:pPr>
      <w:r>
        <w:lastRenderedPageBreak/>
        <w:t xml:space="preserve">PRIHODI OD IMOVINE </w:t>
      </w:r>
    </w:p>
    <w:p w14:paraId="3D38239F" w14:textId="77777777" w:rsidR="007C6B4A" w:rsidRDefault="007C6B4A" w:rsidP="007613FD">
      <w:pPr>
        <w:jc w:val="both"/>
        <w:rPr>
          <w:sz w:val="22"/>
          <w:szCs w:val="22"/>
        </w:rPr>
      </w:pPr>
    </w:p>
    <w:p w14:paraId="2DBB71DD" w14:textId="589756C1" w:rsidR="007C6B4A" w:rsidRDefault="007C6B4A" w:rsidP="007613FD">
      <w:pPr>
        <w:ind w:firstLine="708"/>
        <w:jc w:val="both"/>
        <w:rPr>
          <w:color w:val="FF0000"/>
        </w:rPr>
      </w:pPr>
      <w:r>
        <w:rPr>
          <w:b/>
        </w:rPr>
        <w:t>Prihodi od imovine</w:t>
      </w:r>
      <w:r>
        <w:t xml:space="preserve"> planirani su u iznosu od </w:t>
      </w:r>
      <w:r w:rsidR="008C5319">
        <w:t>2.075.371</w:t>
      </w:r>
      <w:r>
        <w:t xml:space="preserve"> </w:t>
      </w:r>
      <w:r w:rsidR="00994C7A">
        <w:t>eura</w:t>
      </w:r>
      <w:r w:rsidRPr="00375A87">
        <w:t xml:space="preserve">, što je za </w:t>
      </w:r>
      <w:r w:rsidR="008C5319">
        <w:t>1.1 mil.</w:t>
      </w:r>
      <w:r w:rsidRPr="00375A87">
        <w:t xml:space="preserve"> </w:t>
      </w:r>
      <w:r w:rsidR="00994C7A" w:rsidRPr="00375A87">
        <w:t>eura</w:t>
      </w:r>
      <w:r w:rsidRPr="00375A87">
        <w:t xml:space="preserve"> </w:t>
      </w:r>
      <w:r w:rsidR="008C5319">
        <w:t>više</w:t>
      </w:r>
      <w:r w:rsidR="00546508" w:rsidRPr="00375A87">
        <w:t xml:space="preserve"> </w:t>
      </w:r>
      <w:r w:rsidRPr="00375A87">
        <w:t xml:space="preserve">od </w:t>
      </w:r>
      <w:r w:rsidR="0060181A">
        <w:t xml:space="preserve">Drugih izmjena i dopuna Proračuna </w:t>
      </w:r>
      <w:r w:rsidRPr="00375A87">
        <w:t>za 20</w:t>
      </w:r>
      <w:r w:rsidR="00641057" w:rsidRPr="00375A87">
        <w:t>2</w:t>
      </w:r>
      <w:r w:rsidR="008C5319">
        <w:t>3</w:t>
      </w:r>
      <w:r w:rsidRPr="00375A87">
        <w:t>. godinu.</w:t>
      </w:r>
      <w:r w:rsidR="00D641FC">
        <w:t xml:space="preserve"> </w:t>
      </w:r>
      <w:r w:rsidRPr="00375A87">
        <w:t xml:space="preserve">U strukturi ukupnih prihoda ovi prihodi sudjeluju s </w:t>
      </w:r>
      <w:r w:rsidR="008C5319">
        <w:t>2,18</w:t>
      </w:r>
      <w:r w:rsidRPr="00375A87">
        <w:t>%.</w:t>
      </w:r>
    </w:p>
    <w:p w14:paraId="0B0C02BB" w14:textId="1636B06A" w:rsidR="007C6B4A" w:rsidRDefault="007C6B4A" w:rsidP="007613FD">
      <w:pPr>
        <w:jc w:val="both"/>
      </w:pPr>
      <w:r>
        <w:t xml:space="preserve">            </w:t>
      </w:r>
      <w:r w:rsidRPr="006063D6">
        <w:rPr>
          <w:b/>
        </w:rPr>
        <w:t>Prihodi od financijske imovine</w:t>
      </w:r>
      <w:r w:rsidRPr="006063D6">
        <w:t xml:space="preserve"> planirani</w:t>
      </w:r>
      <w:r>
        <w:t xml:space="preserve"> su u iznosu od </w:t>
      </w:r>
      <w:r w:rsidR="00076AEB">
        <w:t>220.000</w:t>
      </w:r>
      <w:r>
        <w:t xml:space="preserve"> </w:t>
      </w:r>
      <w:r w:rsidR="00994C7A">
        <w:t>eura</w:t>
      </w:r>
      <w:r>
        <w:t xml:space="preserve"> i odnose se na</w:t>
      </w:r>
      <w:r w:rsidR="00F9774A">
        <w:t>jvećim dijelom na ostvarenu dobit</w:t>
      </w:r>
      <w:r w:rsidR="004F3B19">
        <w:t xml:space="preserve"> </w:t>
      </w:r>
      <w:r w:rsidR="00F9774A">
        <w:t>od trgovačkog društva Čistoća</w:t>
      </w:r>
      <w:r w:rsidR="0001459E">
        <w:t xml:space="preserve"> d.o.o.</w:t>
      </w:r>
      <w:r w:rsidR="001970AE">
        <w:t xml:space="preserve"> u iznosu od </w:t>
      </w:r>
      <w:r w:rsidR="00076AEB">
        <w:t>200.000</w:t>
      </w:r>
      <w:r w:rsidR="001970AE">
        <w:t xml:space="preserve"> </w:t>
      </w:r>
      <w:r w:rsidR="00994C7A">
        <w:t>eura</w:t>
      </w:r>
      <w:r w:rsidR="0001459E">
        <w:t>,</w:t>
      </w:r>
      <w:r w:rsidR="001970AE">
        <w:t xml:space="preserve"> dok se na</w:t>
      </w:r>
      <w:r>
        <w:t xml:space="preserve"> prihode od kamata na oročena sredstva i na depozite po viđenju</w:t>
      </w:r>
      <w:r w:rsidR="00761920">
        <w:t xml:space="preserve"> odnosi </w:t>
      </w:r>
      <w:r w:rsidR="00910A25">
        <w:t>20.000</w:t>
      </w:r>
      <w:r w:rsidR="00761920">
        <w:t xml:space="preserve"> </w:t>
      </w:r>
      <w:r w:rsidR="00994C7A">
        <w:t>eura</w:t>
      </w:r>
      <w:r>
        <w:t xml:space="preserve">. </w:t>
      </w:r>
    </w:p>
    <w:p w14:paraId="0C1FF680" w14:textId="60662D35" w:rsidR="007C6B4A" w:rsidRDefault="007C6B4A" w:rsidP="00696BC5">
      <w:pPr>
        <w:ind w:firstLine="708"/>
        <w:jc w:val="both"/>
      </w:pPr>
      <w:r>
        <w:rPr>
          <w:b/>
        </w:rPr>
        <w:t>Prihodi od nefinancijske imovine</w:t>
      </w:r>
      <w:r>
        <w:t xml:space="preserve"> odnose se na prihode od zakupa i iznajmljivanja imovine, spomeničke rente, naknade za zbrinjavanje komunalnog otpada, </w:t>
      </w:r>
      <w:r w:rsidRPr="00EF3E4F">
        <w:t>naknade za eksploataciju mineralnih sirovina</w:t>
      </w:r>
      <w:r>
        <w:t xml:space="preserve"> i na naknade za koncesije</w:t>
      </w:r>
      <w:r w:rsidR="00076AEB">
        <w:t xml:space="preserve">, a u </w:t>
      </w:r>
      <w:r>
        <w:t>202</w:t>
      </w:r>
      <w:r w:rsidR="00076AEB">
        <w:t>4</w:t>
      </w:r>
      <w:r>
        <w:t xml:space="preserve">. godini planirani su u ukupnom iznosu od </w:t>
      </w:r>
      <w:r w:rsidR="00076AEB">
        <w:t>1.855.371</w:t>
      </w:r>
      <w:r>
        <w:t xml:space="preserve"> </w:t>
      </w:r>
      <w:r w:rsidR="00994C7A">
        <w:t>eura</w:t>
      </w:r>
      <w:r w:rsidR="00076AEB">
        <w:t>.</w:t>
      </w:r>
      <w:r w:rsidR="00696BC5">
        <w:t xml:space="preserve"> </w:t>
      </w:r>
      <w:r w:rsidR="00076AEB">
        <w:t>V</w:t>
      </w:r>
      <w:r>
        <w:t xml:space="preserve">rijednosno najznačajniji prihodi ove skupine prihoda su </w:t>
      </w:r>
      <w:r w:rsidR="00076AEB">
        <w:t>prihodi od parkinga koji se predviđaju u iznosu 900.000 eura, zatim prihodi od zakupa poslovnih objekata koji se planiraju u iznosu od 200.000 eura, prihodi od naknade za javne površine koji se predviđaju u iznosu od 182.535 eura, prihodi od zakupa i služnosti na gradskom zemljištu iznose 130.000 eura, a prihodi od iznajmljivanja imovine (stanovi) se predviđaju u iznosu od 100.000 eura</w:t>
      </w:r>
      <w:r w:rsidR="006E19E6">
        <w:t xml:space="preserve">. </w:t>
      </w:r>
      <w:r w:rsidR="0091156E">
        <w:t>U 202</w:t>
      </w:r>
      <w:r w:rsidR="003B799E">
        <w:t>4</w:t>
      </w:r>
      <w:r w:rsidR="0091156E">
        <w:t xml:space="preserve">. godini planirani su prihodi od spomeničke rente </w:t>
      </w:r>
      <w:r w:rsidR="00823F41">
        <w:t xml:space="preserve">u iznosu od </w:t>
      </w:r>
      <w:r w:rsidR="00432169">
        <w:t>100.000</w:t>
      </w:r>
      <w:r w:rsidR="00823F41">
        <w:t xml:space="preserve"> </w:t>
      </w:r>
      <w:r w:rsidR="00994C7A">
        <w:t>eura</w:t>
      </w:r>
      <w:r w:rsidR="00823F41">
        <w:t xml:space="preserve">, </w:t>
      </w:r>
      <w:r w:rsidR="00E73181">
        <w:t>naknad</w:t>
      </w:r>
      <w:r w:rsidR="00823F41">
        <w:t>a</w:t>
      </w:r>
      <w:r>
        <w:t xml:space="preserve"> </w:t>
      </w:r>
      <w:r w:rsidR="00E73181">
        <w:t xml:space="preserve">za zbrinjavanje komunalnog otpada u iznosu od </w:t>
      </w:r>
      <w:r w:rsidR="00432169">
        <w:t>50.000</w:t>
      </w:r>
      <w:r w:rsidR="00E73181">
        <w:t xml:space="preserve"> </w:t>
      </w:r>
      <w:r w:rsidR="00994C7A">
        <w:t>eura</w:t>
      </w:r>
      <w:r w:rsidR="00E73181">
        <w:t xml:space="preserve">, </w:t>
      </w:r>
      <w:r>
        <w:t xml:space="preserve">te prihodi od </w:t>
      </w:r>
      <w:r w:rsidR="00AE26B6">
        <w:t>zakupa imovine</w:t>
      </w:r>
      <w:r w:rsidR="00D02B8A">
        <w:t xml:space="preserve"> (štandovi i kiosci) </w:t>
      </w:r>
      <w:r>
        <w:t xml:space="preserve">koji su planirani u iznosu od </w:t>
      </w:r>
      <w:r w:rsidR="003B799E">
        <w:t>25</w:t>
      </w:r>
      <w:r w:rsidR="00D02B8A">
        <w:t>.000</w:t>
      </w:r>
      <w:r>
        <w:t xml:space="preserve"> </w:t>
      </w:r>
      <w:r w:rsidR="00994C7A">
        <w:t>eura</w:t>
      </w:r>
      <w:r>
        <w:t xml:space="preserve">, naknada za eksploataciju mineralnih sirovina </w:t>
      </w:r>
      <w:r w:rsidR="003B799E">
        <w:t>18</w:t>
      </w:r>
      <w:r>
        <w:t xml:space="preserve">.000 </w:t>
      </w:r>
      <w:r w:rsidR="00994C7A">
        <w:t>eura</w:t>
      </w:r>
      <w:r>
        <w:t>, naknada za koncesije planiran</w:t>
      </w:r>
      <w:r w:rsidR="00837B16">
        <w:t>a</w:t>
      </w:r>
      <w:r>
        <w:t xml:space="preserve"> u iznosu od </w:t>
      </w:r>
      <w:r w:rsidR="00D02B8A">
        <w:t>1</w:t>
      </w:r>
      <w:r w:rsidR="003B799E">
        <w:t>0</w:t>
      </w:r>
      <w:r>
        <w:t xml:space="preserve">.000 </w:t>
      </w:r>
      <w:r w:rsidR="00994C7A">
        <w:t>eura</w:t>
      </w:r>
      <w:r w:rsidR="003B799E">
        <w:t xml:space="preserve">, prihodi od iznajmljivanja imovine (Selce) 5.000 eura </w:t>
      </w:r>
      <w:r w:rsidR="0037799A">
        <w:t>t</w:t>
      </w:r>
      <w:r w:rsidR="003B799E">
        <w:t>e prihodi od zakupa poljoprivrednog zemljišta u vlasništvu države u iznosu od 4.000 eura.</w:t>
      </w:r>
    </w:p>
    <w:p w14:paraId="7A37D69F" w14:textId="77777777" w:rsidR="007C6B4A" w:rsidRDefault="007C6B4A" w:rsidP="007613FD">
      <w:pPr>
        <w:jc w:val="both"/>
      </w:pPr>
    </w:p>
    <w:p w14:paraId="7A034BEE" w14:textId="77777777" w:rsidR="007C6B4A" w:rsidRDefault="007C6B4A" w:rsidP="007613FD">
      <w:pPr>
        <w:pStyle w:val="Heading3"/>
        <w:spacing w:before="0" w:after="0"/>
      </w:pPr>
      <w:r>
        <w:t>PRIHODI OD  UPRAVNIH I ADMINISTRATIVNIH  PRISTOJBI, PRISTOJBI PO POSEBNIM PROPISIMA I NAKNADA</w:t>
      </w:r>
    </w:p>
    <w:p w14:paraId="61955814" w14:textId="77777777" w:rsidR="007C6B4A" w:rsidRDefault="007C6B4A" w:rsidP="007613FD">
      <w:pPr>
        <w:tabs>
          <w:tab w:val="left" w:pos="1620"/>
          <w:tab w:val="left" w:pos="1980"/>
        </w:tabs>
        <w:rPr>
          <w:sz w:val="22"/>
          <w:szCs w:val="22"/>
        </w:rPr>
      </w:pPr>
    </w:p>
    <w:p w14:paraId="222CEE3D" w14:textId="339AB9A2" w:rsidR="00F66852" w:rsidRPr="00D641FC" w:rsidRDefault="007C6B4A" w:rsidP="007613FD">
      <w:pPr>
        <w:tabs>
          <w:tab w:val="left" w:pos="1620"/>
          <w:tab w:val="left" w:pos="1980"/>
        </w:tabs>
        <w:jc w:val="both"/>
      </w:pPr>
      <w:r>
        <w:rPr>
          <w:b/>
          <w:sz w:val="22"/>
          <w:szCs w:val="22"/>
        </w:rPr>
        <w:t xml:space="preserve">           </w:t>
      </w:r>
      <w:r>
        <w:t xml:space="preserve">U sljedećoj proračunskoj godini planirani su prihodi od upravnih i administrativnih pristojbi, pristojbi po posebnim propisima i naknada u iznosu od </w:t>
      </w:r>
      <w:r w:rsidR="009E1B41">
        <w:t>10.</w:t>
      </w:r>
      <w:r w:rsidR="002B2D39">
        <w:t>383.058</w:t>
      </w:r>
      <w:r>
        <w:t xml:space="preserve"> </w:t>
      </w:r>
      <w:r w:rsidR="00994C7A">
        <w:t>eura</w:t>
      </w:r>
      <w:r w:rsidRPr="00D641FC">
        <w:t xml:space="preserve">, što je za </w:t>
      </w:r>
      <w:r w:rsidR="002B2D39">
        <w:t>0</w:t>
      </w:r>
      <w:r w:rsidR="009E1B41" w:rsidRPr="00D641FC">
        <w:t>,2</w:t>
      </w:r>
      <w:r w:rsidR="003F71DD" w:rsidRPr="00D641FC">
        <w:t xml:space="preserve"> mil.</w:t>
      </w:r>
      <w:r w:rsidRPr="00D641FC">
        <w:t xml:space="preserve"> </w:t>
      </w:r>
      <w:r w:rsidR="00994C7A" w:rsidRPr="00D641FC">
        <w:t>eura</w:t>
      </w:r>
      <w:r w:rsidRPr="00D641FC">
        <w:t xml:space="preserve"> </w:t>
      </w:r>
      <w:r w:rsidR="002B2D39">
        <w:t>manje</w:t>
      </w:r>
      <w:r w:rsidRPr="00D641FC">
        <w:t xml:space="preserve"> u odnosu na </w:t>
      </w:r>
      <w:r w:rsidR="002B2D39">
        <w:t>D</w:t>
      </w:r>
      <w:r w:rsidR="00D641FC">
        <w:t xml:space="preserve">ruge </w:t>
      </w:r>
      <w:r w:rsidR="002B2D39">
        <w:t>i</w:t>
      </w:r>
      <w:r w:rsidR="00D641FC">
        <w:t xml:space="preserve">zmjene i dopune plana za </w:t>
      </w:r>
      <w:r w:rsidRPr="00D641FC">
        <w:t>20</w:t>
      </w:r>
      <w:r w:rsidR="003F71DD" w:rsidRPr="00D641FC">
        <w:t>2</w:t>
      </w:r>
      <w:r w:rsidR="002B2D39">
        <w:t>3</w:t>
      </w:r>
      <w:r w:rsidRPr="00D641FC">
        <w:t>. godin</w:t>
      </w:r>
      <w:r w:rsidR="00D641FC">
        <w:t>u</w:t>
      </w:r>
      <w:r w:rsidRPr="00D641FC">
        <w:t>. U strukturi ukupnih prihoda i primitka planiranih za 202</w:t>
      </w:r>
      <w:r w:rsidR="002B2D39">
        <w:t>4</w:t>
      </w:r>
      <w:r w:rsidRPr="00D641FC">
        <w:t>. godinu ovi prihodi čine 1</w:t>
      </w:r>
      <w:r w:rsidR="002B2D39">
        <w:t>0,9</w:t>
      </w:r>
      <w:r w:rsidR="00627D6A">
        <w:t>0</w:t>
      </w:r>
      <w:r w:rsidRPr="00D641FC">
        <w:t>%.</w:t>
      </w:r>
    </w:p>
    <w:p w14:paraId="616BC3AA" w14:textId="5BDDB193" w:rsidR="007C6B4A" w:rsidRDefault="007C6B4A" w:rsidP="007613FD">
      <w:pPr>
        <w:ind w:firstLine="708"/>
        <w:jc w:val="both"/>
      </w:pPr>
      <w:r>
        <w:t>U 202</w:t>
      </w:r>
      <w:r w:rsidR="00F25276">
        <w:t>4</w:t>
      </w:r>
      <w:r>
        <w:t xml:space="preserve">. godini </w:t>
      </w:r>
      <w:r>
        <w:rPr>
          <w:b/>
        </w:rPr>
        <w:t>prihodi od upravnih i administrativnih pristojbi</w:t>
      </w:r>
      <w:r>
        <w:t xml:space="preserve"> planirani su u iznosu od </w:t>
      </w:r>
      <w:r w:rsidR="008D7AD6">
        <w:t>1</w:t>
      </w:r>
      <w:r w:rsidR="00F25276">
        <w:t>23</w:t>
      </w:r>
      <w:r w:rsidR="008D7AD6">
        <w:t xml:space="preserve">.000 </w:t>
      </w:r>
      <w:r w:rsidR="00994C7A">
        <w:t>eura</w:t>
      </w:r>
      <w:r>
        <w:t xml:space="preserve">, a odnose se na prihode od gradskih pristojbi i naknada u iznosu od </w:t>
      </w:r>
      <w:r w:rsidR="00F25276">
        <w:t>9</w:t>
      </w:r>
      <w:r w:rsidR="00F7405E">
        <w:t>0.000</w:t>
      </w:r>
      <w:r>
        <w:t xml:space="preserve"> </w:t>
      </w:r>
      <w:r w:rsidR="00994C7A">
        <w:t>eura</w:t>
      </w:r>
      <w:r>
        <w:t xml:space="preserve">, na prihode od boravišnih pristojbi u iznosu od </w:t>
      </w:r>
      <w:r w:rsidR="00F25276">
        <w:t>13</w:t>
      </w:r>
      <w:r w:rsidR="00293393">
        <w:t>.000</w:t>
      </w:r>
      <w:r>
        <w:t xml:space="preserve"> </w:t>
      </w:r>
      <w:r w:rsidR="00994C7A">
        <w:t>eura</w:t>
      </w:r>
      <w:r>
        <w:t xml:space="preserve"> i na prihode od prodaje državnih biljega u iznosu od </w:t>
      </w:r>
      <w:r w:rsidR="00F25276">
        <w:t>2</w:t>
      </w:r>
      <w:r>
        <w:t xml:space="preserve">0.000 </w:t>
      </w:r>
      <w:r w:rsidR="00994C7A">
        <w:t>eura</w:t>
      </w:r>
      <w:r>
        <w:t xml:space="preserve">.  </w:t>
      </w:r>
    </w:p>
    <w:p w14:paraId="4C25D0F8" w14:textId="24EF4D9B" w:rsidR="00635544" w:rsidRDefault="007C6B4A" w:rsidP="007613FD">
      <w:pPr>
        <w:ind w:firstLine="708"/>
        <w:jc w:val="both"/>
      </w:pPr>
      <w:r>
        <w:rPr>
          <w:b/>
        </w:rPr>
        <w:t xml:space="preserve">Prihodi po posebnim propisima </w:t>
      </w:r>
      <w:r>
        <w:t xml:space="preserve">planirani su iznosu od </w:t>
      </w:r>
      <w:r w:rsidR="00243BAF">
        <w:t>3.010.058</w:t>
      </w:r>
      <w:r w:rsidR="00095850">
        <w:t xml:space="preserve"> </w:t>
      </w:r>
      <w:r w:rsidR="00994C7A">
        <w:t>eura</w:t>
      </w:r>
      <w:r>
        <w:t xml:space="preserve"> od čega se na prihode koji će biti uplaćeni </w:t>
      </w:r>
      <w:r w:rsidRPr="00B93672">
        <w:t xml:space="preserve">u korist proračunskih korisnika odnosi </w:t>
      </w:r>
      <w:r w:rsidR="006E23F9">
        <w:t>2,</w:t>
      </w:r>
      <w:r w:rsidR="00243BAF">
        <w:t>8</w:t>
      </w:r>
      <w:r w:rsidRPr="00B93672">
        <w:t xml:space="preserve"> mil.</w:t>
      </w:r>
      <w:r w:rsidR="00994C7A">
        <w:t>eura</w:t>
      </w:r>
      <w:r w:rsidRPr="00B93672">
        <w:t xml:space="preserve"> (najveći dio odnosi se na prihode od sufinanciranja cijena usluga za dječje vrtiće, </w:t>
      </w:r>
      <w:r w:rsidR="000A3451">
        <w:t>produženog boravka u školama</w:t>
      </w:r>
      <w:r>
        <w:t>, članarina</w:t>
      </w:r>
      <w:r w:rsidR="006A23DD">
        <w:t>, ulaznica</w:t>
      </w:r>
      <w:r>
        <w:t xml:space="preserve"> i slično). Prihodi Grada planirani u ovoj </w:t>
      </w:r>
      <w:r w:rsidRPr="00B93672">
        <w:t xml:space="preserve">skupini iznose </w:t>
      </w:r>
      <w:r w:rsidR="00E14001">
        <w:t>16</w:t>
      </w:r>
      <w:r w:rsidR="00243BAF">
        <w:t>9.000</w:t>
      </w:r>
      <w:r w:rsidR="00E14001">
        <w:t xml:space="preserve"> </w:t>
      </w:r>
      <w:r w:rsidR="00994C7A">
        <w:t>eura</w:t>
      </w:r>
      <w:r w:rsidR="00C23848">
        <w:t xml:space="preserve">, a </w:t>
      </w:r>
      <w:r w:rsidRPr="00B93672">
        <w:t>odnose se na prihode od naknada za zadržavanje nezakonito izgrađenih zgrada u prostoru koji su planirani</w:t>
      </w:r>
      <w:r>
        <w:t xml:space="preserve"> u iznosu od </w:t>
      </w:r>
      <w:r w:rsidR="00E14001">
        <w:t>2</w:t>
      </w:r>
      <w:r w:rsidR="00243BAF">
        <w:t>0</w:t>
      </w:r>
      <w:r w:rsidR="00E14001">
        <w:t>.000</w:t>
      </w:r>
      <w:r>
        <w:t xml:space="preserve"> </w:t>
      </w:r>
      <w:r w:rsidR="00994C7A">
        <w:t>eura</w:t>
      </w:r>
      <w:r>
        <w:t xml:space="preserve">, na prihode od vodnog doprinosa u iznosu od </w:t>
      </w:r>
      <w:r w:rsidR="00243BAF">
        <w:t>5</w:t>
      </w:r>
      <w:r w:rsidR="00E14001">
        <w:t>.000</w:t>
      </w:r>
      <w:r>
        <w:t xml:space="preserve"> </w:t>
      </w:r>
      <w:r w:rsidR="00994C7A">
        <w:t>eura</w:t>
      </w:r>
      <w:r>
        <w:t xml:space="preserve">, doprinosa za šume u iznosu od </w:t>
      </w:r>
      <w:r w:rsidR="00243BAF">
        <w:t>100.000</w:t>
      </w:r>
      <w:r>
        <w:t xml:space="preserve"> </w:t>
      </w:r>
      <w:r w:rsidR="00994C7A">
        <w:t>eura</w:t>
      </w:r>
      <w:r>
        <w:t xml:space="preserve">, prihoda po sudskim presudama u iznosu od </w:t>
      </w:r>
      <w:r w:rsidR="00CD6EC8">
        <w:t>20</w:t>
      </w:r>
      <w:r>
        <w:t xml:space="preserve">.000 </w:t>
      </w:r>
      <w:r w:rsidR="00994C7A">
        <w:t>eura</w:t>
      </w:r>
      <w:r w:rsidR="00243BAF">
        <w:t xml:space="preserve"> te na naknadu za izdana jamstva Gradskoj toplani u iznosu od 24.000 eura</w:t>
      </w:r>
      <w:r w:rsidR="009410A3">
        <w:t>.</w:t>
      </w:r>
      <w:r>
        <w:t xml:space="preserve"> </w:t>
      </w:r>
    </w:p>
    <w:p w14:paraId="49B11F04" w14:textId="729075D3" w:rsidR="007C6B4A" w:rsidRDefault="007C6B4A" w:rsidP="007613FD">
      <w:pPr>
        <w:ind w:firstLine="708"/>
        <w:jc w:val="both"/>
      </w:pPr>
      <w:r>
        <w:rPr>
          <w:b/>
        </w:rPr>
        <w:t>Prihodi od komunalnog doprinosa i naknad</w:t>
      </w:r>
      <w:r w:rsidR="00C4414B">
        <w:rPr>
          <w:b/>
        </w:rPr>
        <w:t>a</w:t>
      </w:r>
      <w:r>
        <w:rPr>
          <w:b/>
        </w:rPr>
        <w:t xml:space="preserve"> </w:t>
      </w:r>
      <w:r>
        <w:t>ukupno su planirani u 202</w:t>
      </w:r>
      <w:r w:rsidR="00243BAF">
        <w:t>4</w:t>
      </w:r>
      <w:r>
        <w:t xml:space="preserve">. godini u iznosu od </w:t>
      </w:r>
      <w:r w:rsidR="00CD6EC8">
        <w:t>7.</w:t>
      </w:r>
      <w:r w:rsidR="00243BAF">
        <w:t>250.000</w:t>
      </w:r>
      <w:r>
        <w:t xml:space="preserve"> </w:t>
      </w:r>
      <w:r w:rsidR="00994C7A">
        <w:t>eura</w:t>
      </w:r>
      <w:r>
        <w:t xml:space="preserve">, što je </w:t>
      </w:r>
      <w:r w:rsidRPr="00D641FC">
        <w:t xml:space="preserve">za </w:t>
      </w:r>
      <w:r w:rsidR="00243BAF">
        <w:t>0,4</w:t>
      </w:r>
      <w:r w:rsidR="004370A5" w:rsidRPr="00D641FC">
        <w:t xml:space="preserve"> mil.</w:t>
      </w:r>
      <w:r w:rsidRPr="00D641FC">
        <w:t xml:space="preserve"> </w:t>
      </w:r>
      <w:r w:rsidR="00994C7A" w:rsidRPr="00D641FC">
        <w:t>eura</w:t>
      </w:r>
      <w:r w:rsidR="00462446" w:rsidRPr="00D641FC">
        <w:t xml:space="preserve"> </w:t>
      </w:r>
      <w:r w:rsidR="00243BAF">
        <w:t>manje</w:t>
      </w:r>
      <w:r w:rsidRPr="00D641FC">
        <w:t xml:space="preserve"> u odnosu na planirani iznos ovih prihoda </w:t>
      </w:r>
      <w:r w:rsidR="00243BAF">
        <w:t>D</w:t>
      </w:r>
      <w:r w:rsidR="005D0509" w:rsidRPr="00D641FC">
        <w:t>rugim</w:t>
      </w:r>
      <w:r w:rsidRPr="00D641FC">
        <w:t xml:space="preserve"> </w:t>
      </w:r>
      <w:r w:rsidR="00243BAF">
        <w:t>i</w:t>
      </w:r>
      <w:r w:rsidRPr="00D641FC">
        <w:t>zmjenama i dopunama proračuna Grada Karlovca za 20</w:t>
      </w:r>
      <w:r w:rsidR="00462446" w:rsidRPr="00D641FC">
        <w:t>2</w:t>
      </w:r>
      <w:r w:rsidR="00243BAF">
        <w:t>3</w:t>
      </w:r>
      <w:r w:rsidRPr="00D641FC">
        <w:t>.</w:t>
      </w:r>
      <w:r w:rsidR="00CA098B" w:rsidRPr="00D641FC">
        <w:t xml:space="preserve"> </w:t>
      </w:r>
      <w:r w:rsidRPr="00D641FC">
        <w:t>godinu.</w:t>
      </w:r>
      <w:r>
        <w:t xml:space="preserve"> Prihodi od komunalnog doprinosa planirani su iznosu od</w:t>
      </w:r>
      <w:r w:rsidR="001F3219">
        <w:t xml:space="preserve"> </w:t>
      </w:r>
      <w:r w:rsidR="00E26958">
        <w:t>1</w:t>
      </w:r>
      <w:r w:rsidR="001F3219">
        <w:t xml:space="preserve"> mil.</w:t>
      </w:r>
      <w:r>
        <w:t xml:space="preserve"> </w:t>
      </w:r>
      <w:r w:rsidR="00994C7A">
        <w:t>eura</w:t>
      </w:r>
      <w:r w:rsidR="007D6B27">
        <w:t xml:space="preserve">, </w:t>
      </w:r>
      <w:r>
        <w:t xml:space="preserve">a prihodi od komunalne naknade u iznosu od </w:t>
      </w:r>
      <w:r w:rsidR="008D1AB4">
        <w:t>6,2</w:t>
      </w:r>
      <w:r w:rsidR="00243BAF">
        <w:t>5</w:t>
      </w:r>
      <w:r w:rsidR="001F3219">
        <w:t xml:space="preserve"> mil.</w:t>
      </w:r>
      <w:r>
        <w:t xml:space="preserve"> </w:t>
      </w:r>
      <w:r w:rsidR="00994C7A">
        <w:t>eura</w:t>
      </w:r>
      <w:r w:rsidR="00243BAF">
        <w:t>.</w:t>
      </w:r>
    </w:p>
    <w:p w14:paraId="4833CE01" w14:textId="0672DF33" w:rsidR="0000565A" w:rsidRDefault="0000565A" w:rsidP="007613FD">
      <w:pPr>
        <w:jc w:val="both"/>
      </w:pPr>
    </w:p>
    <w:p w14:paraId="7640F221" w14:textId="77777777" w:rsidR="00612E68" w:rsidRDefault="00612E68" w:rsidP="007613FD">
      <w:pPr>
        <w:jc w:val="both"/>
      </w:pPr>
    </w:p>
    <w:p w14:paraId="59241659" w14:textId="77777777" w:rsidR="0000565A" w:rsidRDefault="0000565A" w:rsidP="007613FD">
      <w:pPr>
        <w:jc w:val="both"/>
      </w:pPr>
    </w:p>
    <w:p w14:paraId="7BEBD363" w14:textId="38AF9147" w:rsidR="00A41BF1" w:rsidRDefault="007D7D5B" w:rsidP="007613FD">
      <w:pPr>
        <w:pStyle w:val="Heading3"/>
        <w:spacing w:before="0" w:after="0"/>
      </w:pPr>
      <w:r>
        <w:lastRenderedPageBreak/>
        <w:t>PRIHODI OD PRODAJE PROIZVODA I ROBE TE PRUŽENIH USLUGA I PRIHODI OD DONACIJA</w:t>
      </w:r>
    </w:p>
    <w:p w14:paraId="426521CA" w14:textId="77777777" w:rsidR="00635544" w:rsidRPr="00635544" w:rsidRDefault="00635544" w:rsidP="007613FD"/>
    <w:p w14:paraId="21196E2F" w14:textId="7F2B4CCC" w:rsidR="00A41BF1" w:rsidRDefault="007D7D5B" w:rsidP="007613FD">
      <w:pPr>
        <w:ind w:firstLine="708"/>
        <w:jc w:val="both"/>
      </w:pPr>
      <w:r>
        <w:rPr>
          <w:b/>
        </w:rPr>
        <w:t xml:space="preserve">Prihodi od prodaje proizvoda i robe te pruženih usluga i prihodi od donacija </w:t>
      </w:r>
      <w:r>
        <w:t xml:space="preserve">planirani u iznosu od </w:t>
      </w:r>
      <w:r w:rsidR="00243BAF">
        <w:t>1.466.168</w:t>
      </w:r>
      <w:r>
        <w:t xml:space="preserve"> </w:t>
      </w:r>
      <w:r w:rsidR="00994C7A">
        <w:t>eura</w:t>
      </w:r>
      <w:r>
        <w:t xml:space="preserve"> i </w:t>
      </w:r>
      <w:r w:rsidR="006E038C" w:rsidRPr="00D641FC">
        <w:t xml:space="preserve">veći su za </w:t>
      </w:r>
      <w:r w:rsidR="00243BAF">
        <w:t>0,6 mil.</w:t>
      </w:r>
      <w:r w:rsidR="00CC5810" w:rsidRPr="00D641FC">
        <w:t xml:space="preserve"> </w:t>
      </w:r>
      <w:r w:rsidR="00994C7A" w:rsidRPr="00D641FC">
        <w:t>eura</w:t>
      </w:r>
      <w:r w:rsidRPr="00D641FC">
        <w:t xml:space="preserve"> ili za </w:t>
      </w:r>
      <w:r w:rsidR="00243BAF">
        <w:t>64,48</w:t>
      </w:r>
      <w:r w:rsidRPr="00D641FC">
        <w:t>% u odnosu na plan</w:t>
      </w:r>
      <w:r w:rsidR="0000565A" w:rsidRPr="00D641FC">
        <w:rPr>
          <w:color w:val="FF0000"/>
        </w:rPr>
        <w:t xml:space="preserve"> </w:t>
      </w:r>
      <w:r w:rsidRPr="00D641FC">
        <w:t>za 20</w:t>
      </w:r>
      <w:r w:rsidR="00F24EFC" w:rsidRPr="00D641FC">
        <w:t>2</w:t>
      </w:r>
      <w:r w:rsidR="00243BAF">
        <w:t>3</w:t>
      </w:r>
      <w:r w:rsidRPr="00D641FC">
        <w:t>. godinu, a u ukupnim prihodima Grada Karlovca za 202</w:t>
      </w:r>
      <w:r w:rsidR="00243BAF">
        <w:t>4</w:t>
      </w:r>
      <w:r w:rsidRPr="00D641FC">
        <w:t>. godinu čine</w:t>
      </w:r>
      <w:r>
        <w:t xml:space="preserve"> </w:t>
      </w:r>
      <w:r w:rsidR="00CE7EAE">
        <w:t>1,</w:t>
      </w:r>
      <w:r w:rsidR="00243BAF">
        <w:t>54</w:t>
      </w:r>
      <w:r>
        <w:t>%.</w:t>
      </w:r>
    </w:p>
    <w:p w14:paraId="67A4C63B" w14:textId="62880B2A" w:rsidR="00A41BF1" w:rsidRDefault="00CE7EAE" w:rsidP="007613FD">
      <w:pPr>
        <w:ind w:firstLine="708"/>
        <w:jc w:val="both"/>
        <w:rPr>
          <w:sz w:val="22"/>
          <w:szCs w:val="22"/>
        </w:rPr>
      </w:pPr>
      <w:r>
        <w:t>P</w:t>
      </w:r>
      <w:r w:rsidR="007D7D5B">
        <w:t>rihod</w:t>
      </w:r>
      <w:r>
        <w:t>i</w:t>
      </w:r>
      <w:r w:rsidR="007D7D5B">
        <w:t xml:space="preserve"> od prodaje proizvoda i rob</w:t>
      </w:r>
      <w:r w:rsidR="00193928">
        <w:t>a</w:t>
      </w:r>
      <w:r w:rsidR="007D7D5B">
        <w:t xml:space="preserve"> te pruženih usluga proračunskih korisnika</w:t>
      </w:r>
      <w:r>
        <w:t xml:space="preserve"> planirani su </w:t>
      </w:r>
      <w:r w:rsidR="007D7D5B">
        <w:t xml:space="preserve">u iznosu od </w:t>
      </w:r>
      <w:r w:rsidR="00703C81">
        <w:t>1.093.584</w:t>
      </w:r>
      <w:r w:rsidR="000F7071">
        <w:t xml:space="preserve"> </w:t>
      </w:r>
      <w:r w:rsidR="00994C7A">
        <w:t>eura</w:t>
      </w:r>
      <w:r w:rsidR="000F7071">
        <w:t xml:space="preserve"> dok se na prihode Grada po ovoj osnovi odnosi </w:t>
      </w:r>
      <w:r w:rsidR="00703C81">
        <w:t>265</w:t>
      </w:r>
      <w:r w:rsidR="0011729C">
        <w:t>.000</w:t>
      </w:r>
      <w:r w:rsidR="007246B6">
        <w:t xml:space="preserve"> </w:t>
      </w:r>
      <w:r w:rsidR="00994C7A">
        <w:t>eura</w:t>
      </w:r>
      <w:r w:rsidR="00681D5D">
        <w:t>,</w:t>
      </w:r>
      <w:r w:rsidR="00725961">
        <w:t xml:space="preserve"> </w:t>
      </w:r>
      <w:r w:rsidR="00703C81">
        <w:t>a radi se o</w:t>
      </w:r>
      <w:r w:rsidR="00725961">
        <w:t xml:space="preserve"> prihod</w:t>
      </w:r>
      <w:r w:rsidR="00703C81">
        <w:t>ima</w:t>
      </w:r>
      <w:r w:rsidR="004E4BD2">
        <w:t xml:space="preserve"> od pruženih usluga za Hrvatske vode</w:t>
      </w:r>
      <w:r w:rsidR="00703C81">
        <w:t xml:space="preserve"> (200.000 eura) te prihodima od usluga Pauk službe (65.0000 eura).</w:t>
      </w:r>
    </w:p>
    <w:p w14:paraId="3755B860" w14:textId="051A474F" w:rsidR="00A41BF1" w:rsidRDefault="007D7D5B" w:rsidP="007613FD">
      <w:pPr>
        <w:ind w:firstLine="708"/>
        <w:jc w:val="both"/>
      </w:pPr>
      <w:r>
        <w:t xml:space="preserve"> Prihodi od donacija su planirani u iznosu od </w:t>
      </w:r>
      <w:r w:rsidR="00703C81">
        <w:t>107.584</w:t>
      </w:r>
      <w:r w:rsidR="00C04E32">
        <w:t xml:space="preserve"> </w:t>
      </w:r>
      <w:r w:rsidR="00994C7A">
        <w:t>eura</w:t>
      </w:r>
      <w:r>
        <w:t xml:space="preserve"> pri čemu se najveći dio odnosi na donacije trgovačk</w:t>
      </w:r>
      <w:r w:rsidR="00B75E09">
        <w:t>og</w:t>
      </w:r>
      <w:r>
        <w:t xml:space="preserve"> društava za </w:t>
      </w:r>
      <w:r w:rsidR="00B75E09">
        <w:t xml:space="preserve">provedbu </w:t>
      </w:r>
      <w:r>
        <w:t>projekt</w:t>
      </w:r>
      <w:r w:rsidR="00B75E09">
        <w:t>a</w:t>
      </w:r>
      <w:r>
        <w:t xml:space="preserve"> KA - kvart u iznosu od </w:t>
      </w:r>
      <w:r w:rsidR="00C04E32">
        <w:t>46.45</w:t>
      </w:r>
      <w:r w:rsidR="00703C81">
        <w:t>3</w:t>
      </w:r>
      <w:r>
        <w:t xml:space="preserve"> </w:t>
      </w:r>
      <w:r w:rsidR="00994C7A">
        <w:t>eura</w:t>
      </w:r>
      <w:r w:rsidR="007F036A">
        <w:t xml:space="preserve">, </w:t>
      </w:r>
      <w:r w:rsidR="00043EB1">
        <w:t>na</w:t>
      </w:r>
      <w:r w:rsidR="007F036A">
        <w:t xml:space="preserve"> donacije od </w:t>
      </w:r>
      <w:r w:rsidR="00703C81">
        <w:t>poslovnih subjekata za prostorno plansku dokumentaciju</w:t>
      </w:r>
      <w:r w:rsidR="007C5906">
        <w:t xml:space="preserve"> </w:t>
      </w:r>
      <w:r w:rsidR="00703C81">
        <w:t>21.5</w:t>
      </w:r>
      <w:r w:rsidR="004A2F11">
        <w:t>00</w:t>
      </w:r>
      <w:r w:rsidR="00583043">
        <w:t xml:space="preserve"> </w:t>
      </w:r>
      <w:r w:rsidR="00994C7A">
        <w:t>eura</w:t>
      </w:r>
      <w:r>
        <w:t xml:space="preserve"> dok se na proračunske korisnike </w:t>
      </w:r>
      <w:r w:rsidRPr="00B93672">
        <w:t xml:space="preserve">odnosi </w:t>
      </w:r>
      <w:r w:rsidR="00E12149">
        <w:t>3</w:t>
      </w:r>
      <w:r w:rsidR="00703C81">
        <w:t>9</w:t>
      </w:r>
      <w:r w:rsidR="00E12149">
        <w:t>.6</w:t>
      </w:r>
      <w:r w:rsidR="00703C81">
        <w:t>31</w:t>
      </w:r>
      <w:r w:rsidRPr="00B93672">
        <w:t xml:space="preserve"> </w:t>
      </w:r>
      <w:r w:rsidR="00994C7A">
        <w:t>eura</w:t>
      </w:r>
      <w:r w:rsidRPr="00B93672">
        <w:t xml:space="preserve"> prihoda od donacija. </w:t>
      </w:r>
    </w:p>
    <w:p w14:paraId="6E8F06C6" w14:textId="77777777" w:rsidR="00A41BF1" w:rsidRDefault="00A41BF1" w:rsidP="007613FD">
      <w:pPr>
        <w:ind w:firstLine="708"/>
        <w:jc w:val="both"/>
      </w:pPr>
    </w:p>
    <w:p w14:paraId="0003DA36" w14:textId="77777777" w:rsidR="00A41BF1" w:rsidRDefault="007D7D5B" w:rsidP="007613FD">
      <w:pPr>
        <w:pStyle w:val="Heading3"/>
        <w:spacing w:before="0" w:after="0"/>
      </w:pPr>
      <w:r>
        <w:t xml:space="preserve"> KAZNE, UPRAVNE MJERE I OSTALI PRIHODI</w:t>
      </w:r>
    </w:p>
    <w:p w14:paraId="2ED6FBE5" w14:textId="77777777" w:rsidR="00A41BF1" w:rsidRDefault="00A41BF1" w:rsidP="007613FD">
      <w:pPr>
        <w:ind w:left="708"/>
        <w:rPr>
          <w:sz w:val="22"/>
          <w:szCs w:val="22"/>
        </w:rPr>
      </w:pPr>
    </w:p>
    <w:p w14:paraId="088A5577" w14:textId="42F3CCA0" w:rsidR="00A41BF1" w:rsidRDefault="007D7D5B" w:rsidP="007613FD">
      <w:pPr>
        <w:ind w:firstLine="708"/>
        <w:jc w:val="both"/>
      </w:pPr>
      <w:r>
        <w:t>U 202</w:t>
      </w:r>
      <w:r w:rsidR="00703C81">
        <w:t>4</w:t>
      </w:r>
      <w:r>
        <w:t xml:space="preserve">. godini planirani prihodi u ovoj skupini iznose </w:t>
      </w:r>
      <w:r w:rsidR="00703C81">
        <w:t>154.407</w:t>
      </w:r>
      <w:r>
        <w:t xml:space="preserve"> </w:t>
      </w:r>
      <w:r w:rsidR="00994C7A" w:rsidRPr="00D641FC">
        <w:t>eura</w:t>
      </w:r>
      <w:r w:rsidRPr="00D641FC">
        <w:t xml:space="preserve"> što je za </w:t>
      </w:r>
      <w:r w:rsidR="00703C81">
        <w:t>23.061</w:t>
      </w:r>
      <w:r w:rsidRPr="00D641FC">
        <w:t xml:space="preserve"> </w:t>
      </w:r>
      <w:r w:rsidR="00994C7A" w:rsidRPr="00D641FC">
        <w:t>eura</w:t>
      </w:r>
      <w:r w:rsidRPr="00D641FC">
        <w:t xml:space="preserve"> </w:t>
      </w:r>
      <w:r w:rsidR="000A72C4" w:rsidRPr="00D641FC">
        <w:t>manje</w:t>
      </w:r>
      <w:r w:rsidRPr="00D641FC">
        <w:t xml:space="preserve"> u odnosu na </w:t>
      </w:r>
      <w:r w:rsidR="00B62C2F">
        <w:t xml:space="preserve">planirano </w:t>
      </w:r>
      <w:r w:rsidR="00703C81">
        <w:t>D</w:t>
      </w:r>
      <w:r w:rsidR="00B62C2F">
        <w:t xml:space="preserve">rugim </w:t>
      </w:r>
      <w:r w:rsidR="00703C81">
        <w:t>i</w:t>
      </w:r>
      <w:r w:rsidR="00B62C2F">
        <w:t>zmjenama i dopunama plana za 202</w:t>
      </w:r>
      <w:r w:rsidR="00703C81">
        <w:t>3</w:t>
      </w:r>
      <w:r w:rsidR="00B62C2F">
        <w:t>. godinu</w:t>
      </w:r>
      <w:r w:rsidRPr="00D641FC">
        <w:t>, a u strukturi ukupnih prihoda čine 0,</w:t>
      </w:r>
      <w:r w:rsidR="00E12149" w:rsidRPr="00D641FC">
        <w:t>1</w:t>
      </w:r>
      <w:r w:rsidR="00681D5D">
        <w:t>6</w:t>
      </w:r>
      <w:r w:rsidRPr="00D641FC">
        <w:t>%.</w:t>
      </w:r>
      <w:r>
        <w:t xml:space="preserve"> Odnose se na naplatu prihoda od novčanih kazni (prekršajne kazne komunalnih redara) u iznosu od </w:t>
      </w:r>
      <w:r w:rsidR="00320FBA">
        <w:t>7</w:t>
      </w:r>
      <w:r w:rsidR="000C3069">
        <w:t>0.000</w:t>
      </w:r>
      <w:r>
        <w:t xml:space="preserve"> </w:t>
      </w:r>
      <w:r w:rsidR="00994C7A">
        <w:t>eura</w:t>
      </w:r>
      <w:r>
        <w:t xml:space="preserve">,  prihode za naplaćene troškove prisilne naplate u iznosu od </w:t>
      </w:r>
      <w:r w:rsidR="000C3069">
        <w:t>1.000</w:t>
      </w:r>
      <w:r>
        <w:t xml:space="preserve"> </w:t>
      </w:r>
      <w:r w:rsidR="00994C7A">
        <w:t>eura</w:t>
      </w:r>
      <w:r>
        <w:t xml:space="preserve"> i ostale prihode u iznosu od </w:t>
      </w:r>
      <w:r w:rsidR="00320FBA">
        <w:t>83.407</w:t>
      </w:r>
      <w:r>
        <w:t xml:space="preserve"> </w:t>
      </w:r>
      <w:r w:rsidR="00994C7A">
        <w:t>eura</w:t>
      </w:r>
      <w:r>
        <w:t xml:space="preserve"> (</w:t>
      </w:r>
      <w:r>
        <w:rPr>
          <w:color w:val="000000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3DFD6C4B" w14:textId="77777777" w:rsidR="00A41BF1" w:rsidRDefault="00A41BF1" w:rsidP="007613FD">
      <w:pPr>
        <w:jc w:val="both"/>
        <w:rPr>
          <w:sz w:val="22"/>
          <w:szCs w:val="22"/>
        </w:rPr>
      </w:pPr>
    </w:p>
    <w:p w14:paraId="3E3041F7" w14:textId="4AF8B353" w:rsidR="00A41BF1" w:rsidRDefault="007D7D5B" w:rsidP="007613FD">
      <w:pPr>
        <w:pStyle w:val="Heading2"/>
        <w:spacing w:before="0" w:after="0"/>
        <w:ind w:left="0" w:firstLine="0"/>
      </w:pPr>
      <w:r>
        <w:t>PRIHODI OD PRODAJE NEFINANCIJSKE IMOVINE</w:t>
      </w:r>
    </w:p>
    <w:p w14:paraId="0F688890" w14:textId="77777777" w:rsidR="002F291C" w:rsidRPr="002F291C" w:rsidRDefault="002F291C" w:rsidP="002F291C"/>
    <w:p w14:paraId="4ACFF00E" w14:textId="77777777" w:rsidR="00681D5D" w:rsidRDefault="00293F6E" w:rsidP="00681D5D">
      <w:pPr>
        <w:ind w:firstLine="708"/>
        <w:jc w:val="both"/>
      </w:pPr>
      <w:r w:rsidRPr="00293F6E">
        <w:rPr>
          <w:bCs/>
        </w:rPr>
        <w:t>Prihodi od prodaje nefinancijske imovine planirani</w:t>
      </w:r>
      <w:r>
        <w:t xml:space="preserve"> su u iznosu od 311.435 eura</w:t>
      </w:r>
      <w:r w:rsidRPr="00B62C2F">
        <w:t xml:space="preserve">, što je za </w:t>
      </w:r>
      <w:r>
        <w:t>31.543</w:t>
      </w:r>
      <w:r w:rsidRPr="00B62C2F">
        <w:t xml:space="preserve"> eura manje u odnosu na planirani iznos ovih prihoda </w:t>
      </w:r>
      <w:r>
        <w:t xml:space="preserve">Drugim izmjenama i dopunama plana za </w:t>
      </w:r>
      <w:r w:rsidRPr="00B62C2F">
        <w:t>202</w:t>
      </w:r>
      <w:r>
        <w:t>3</w:t>
      </w:r>
      <w:r w:rsidRPr="00B62C2F">
        <w:t>. godin</w:t>
      </w:r>
      <w:r>
        <w:t>u</w:t>
      </w:r>
      <w:r w:rsidRPr="00B62C2F">
        <w:t>.</w:t>
      </w:r>
      <w:r w:rsidRPr="00B62C2F">
        <w:rPr>
          <w:color w:val="FF0000"/>
        </w:rPr>
        <w:t xml:space="preserve"> </w:t>
      </w:r>
      <w:r w:rsidR="00681D5D">
        <w:t>U strukturi ukupnih prihoda i primitaka prihodi od prodaje nefinancijske imovine čine 0,33%.</w:t>
      </w:r>
    </w:p>
    <w:p w14:paraId="56AFA9A4" w14:textId="06F135D9" w:rsidR="00A41BF1" w:rsidRPr="00293F6E" w:rsidRDefault="0093384E" w:rsidP="007613FD">
      <w:pPr>
        <w:ind w:firstLine="708"/>
        <w:jc w:val="both"/>
        <w:rPr>
          <w:bCs/>
        </w:rPr>
      </w:pPr>
      <w:r w:rsidRPr="0093384E">
        <w:rPr>
          <w:b/>
        </w:rPr>
        <w:t>Prihodi od prodaje neproizvedene dugotrajne imovine</w:t>
      </w:r>
      <w:r>
        <w:rPr>
          <w:b/>
        </w:rPr>
        <w:t xml:space="preserve"> </w:t>
      </w:r>
      <w:r>
        <w:rPr>
          <w:bCs/>
        </w:rPr>
        <w:t xml:space="preserve">planirani </w:t>
      </w:r>
      <w:r w:rsidRPr="00293F6E">
        <w:rPr>
          <w:bCs/>
        </w:rPr>
        <w:t>su iznosu od 55.000 eura, odnosno 6,5</w:t>
      </w:r>
      <w:r w:rsidR="00F926AC">
        <w:rPr>
          <w:bCs/>
        </w:rPr>
        <w:t>0</w:t>
      </w:r>
      <w:r w:rsidR="00293F6E" w:rsidRPr="00293F6E">
        <w:rPr>
          <w:bCs/>
        </w:rPr>
        <w:t>%</w:t>
      </w:r>
      <w:r w:rsidRPr="00293F6E">
        <w:rPr>
          <w:bCs/>
        </w:rPr>
        <w:t xml:space="preserve"> više u odnosu na plan za 2023. godinu</w:t>
      </w:r>
      <w:r w:rsidR="00293F6E" w:rsidRPr="00293F6E">
        <w:rPr>
          <w:bCs/>
        </w:rPr>
        <w:t>, a odnose se na p</w:t>
      </w:r>
      <w:r w:rsidR="007D7D5B" w:rsidRPr="00293F6E">
        <w:rPr>
          <w:bCs/>
        </w:rPr>
        <w:t>rihod od prodaje zemljišta</w:t>
      </w:r>
      <w:r w:rsidR="00293F6E" w:rsidRPr="00293F6E">
        <w:rPr>
          <w:bCs/>
        </w:rPr>
        <w:t xml:space="preserve"> u vlasništvu </w:t>
      </w:r>
      <w:r w:rsidR="00405163">
        <w:rPr>
          <w:bCs/>
        </w:rPr>
        <w:t>G</w:t>
      </w:r>
      <w:r w:rsidR="00293F6E" w:rsidRPr="00293F6E">
        <w:rPr>
          <w:bCs/>
        </w:rPr>
        <w:t>rada</w:t>
      </w:r>
      <w:r w:rsidR="007D7D5B" w:rsidRPr="00293F6E">
        <w:rPr>
          <w:bCs/>
        </w:rPr>
        <w:t xml:space="preserve"> </w:t>
      </w:r>
      <w:r w:rsidR="00293F6E" w:rsidRPr="00293F6E">
        <w:rPr>
          <w:bCs/>
        </w:rPr>
        <w:t xml:space="preserve">koji su u 2024. </w:t>
      </w:r>
      <w:r w:rsidR="007D7D5B" w:rsidRPr="00293F6E">
        <w:rPr>
          <w:bCs/>
        </w:rPr>
        <w:t xml:space="preserve">planirani u iznosu od </w:t>
      </w:r>
      <w:r w:rsidR="00E51706" w:rsidRPr="00293F6E">
        <w:rPr>
          <w:bCs/>
        </w:rPr>
        <w:t>5</w:t>
      </w:r>
      <w:r w:rsidR="00293F6E" w:rsidRPr="00293F6E">
        <w:rPr>
          <w:bCs/>
        </w:rPr>
        <w:t>0.000</w:t>
      </w:r>
      <w:r w:rsidR="007D7D5B" w:rsidRPr="00293F6E">
        <w:rPr>
          <w:bCs/>
        </w:rPr>
        <w:t xml:space="preserve"> </w:t>
      </w:r>
      <w:r w:rsidR="00994C7A" w:rsidRPr="00293F6E">
        <w:rPr>
          <w:bCs/>
        </w:rPr>
        <w:t>eura</w:t>
      </w:r>
      <w:r w:rsidR="007D7D5B" w:rsidRPr="00293F6E">
        <w:rPr>
          <w:bCs/>
        </w:rPr>
        <w:t xml:space="preserve">, </w:t>
      </w:r>
      <w:r w:rsidR="00293F6E" w:rsidRPr="00293F6E">
        <w:rPr>
          <w:bCs/>
        </w:rPr>
        <w:t>te</w:t>
      </w:r>
      <w:r w:rsidR="002318B5" w:rsidRPr="00293F6E">
        <w:rPr>
          <w:bCs/>
        </w:rPr>
        <w:t xml:space="preserve"> na prihode od prodaje zemljišta u državnom vlasništvu </w:t>
      </w:r>
      <w:r w:rsidR="00405163">
        <w:rPr>
          <w:bCs/>
        </w:rPr>
        <w:t xml:space="preserve">za koje je planiran iznos od </w:t>
      </w:r>
      <w:r w:rsidR="00293F6E" w:rsidRPr="00293F6E">
        <w:rPr>
          <w:bCs/>
        </w:rPr>
        <w:t>5.000</w:t>
      </w:r>
      <w:r w:rsidR="002318B5" w:rsidRPr="00293F6E">
        <w:rPr>
          <w:bCs/>
        </w:rPr>
        <w:t xml:space="preserve"> </w:t>
      </w:r>
      <w:r w:rsidR="00994C7A" w:rsidRPr="00293F6E">
        <w:rPr>
          <w:bCs/>
        </w:rPr>
        <w:t>eura</w:t>
      </w:r>
      <w:r w:rsidR="002318B5" w:rsidRPr="00293F6E">
        <w:rPr>
          <w:bCs/>
        </w:rPr>
        <w:t xml:space="preserve">. </w:t>
      </w:r>
    </w:p>
    <w:p w14:paraId="2C0BE9F2" w14:textId="00CA07EB" w:rsidR="00A41BF1" w:rsidRDefault="007D7D5B" w:rsidP="007613FD">
      <w:pPr>
        <w:ind w:firstLine="708"/>
        <w:jc w:val="both"/>
      </w:pPr>
      <w:r>
        <w:rPr>
          <w:b/>
        </w:rPr>
        <w:t>Prihodi od prodaje proizvedene dugotrajne imovine</w:t>
      </w:r>
      <w:r>
        <w:t xml:space="preserve"> planirani su u 20</w:t>
      </w:r>
      <w:r w:rsidR="00B93672">
        <w:t>2</w:t>
      </w:r>
      <w:r w:rsidR="00293F6E">
        <w:t>4</w:t>
      </w:r>
      <w:r>
        <w:t xml:space="preserve">. godini u iznosu od </w:t>
      </w:r>
      <w:r w:rsidR="00293F6E">
        <w:t>256.435</w:t>
      </w:r>
      <w:r>
        <w:t xml:space="preserve"> </w:t>
      </w:r>
      <w:r w:rsidR="00994C7A">
        <w:t>eura</w:t>
      </w:r>
      <w:r w:rsidRPr="000E78F7">
        <w:t xml:space="preserve">, što je za </w:t>
      </w:r>
      <w:r w:rsidR="00293F6E">
        <w:t>34.899</w:t>
      </w:r>
      <w:r w:rsidRPr="000E78F7">
        <w:t xml:space="preserve"> </w:t>
      </w:r>
      <w:r w:rsidR="00994C7A" w:rsidRPr="000E78F7">
        <w:t>eura</w:t>
      </w:r>
      <w:r w:rsidRPr="000E78F7">
        <w:t xml:space="preserve"> </w:t>
      </w:r>
      <w:r w:rsidR="00D51535" w:rsidRPr="000E78F7">
        <w:t>manje</w:t>
      </w:r>
      <w:r w:rsidRPr="000E78F7">
        <w:t xml:space="preserve"> u odnosu na </w:t>
      </w:r>
      <w:r w:rsidR="000E78F7">
        <w:t>tekući plan</w:t>
      </w:r>
      <w:r w:rsidRPr="000E78F7">
        <w:t xml:space="preserve"> 20</w:t>
      </w:r>
      <w:r w:rsidR="00BF3085" w:rsidRPr="000E78F7">
        <w:t>2</w:t>
      </w:r>
      <w:r w:rsidR="00293F6E">
        <w:t>3</w:t>
      </w:r>
      <w:r w:rsidRPr="000E78F7">
        <w:t>.</w:t>
      </w:r>
      <w:r w:rsidR="000E78F7">
        <w:t xml:space="preserve"> </w:t>
      </w:r>
      <w:r w:rsidRPr="000E78F7">
        <w:t>godine</w:t>
      </w:r>
      <w:r w:rsidR="000E78F7">
        <w:t>.</w:t>
      </w:r>
      <w:r w:rsidR="00CF0A1D">
        <w:rPr>
          <w:color w:val="FF0000"/>
        </w:rPr>
        <w:t xml:space="preserve"> </w:t>
      </w:r>
      <w:r>
        <w:t>Najznačajnij</w:t>
      </w:r>
      <w:r w:rsidR="00293F6E">
        <w:t>i</w:t>
      </w:r>
      <w:r>
        <w:t xml:space="preserve"> </w:t>
      </w:r>
      <w:r w:rsidR="00BF3085">
        <w:t xml:space="preserve">su </w:t>
      </w:r>
      <w:r>
        <w:t>prihod</w:t>
      </w:r>
      <w:r w:rsidR="00BF3085">
        <w:t>i</w:t>
      </w:r>
      <w:r>
        <w:t xml:space="preserve"> od prodaje građevinskih objekata koji su </w:t>
      </w:r>
      <w:r w:rsidR="00CA4E30">
        <w:t xml:space="preserve">planirani u iznosu od </w:t>
      </w:r>
      <w:r w:rsidR="000A7543">
        <w:t>247.781</w:t>
      </w:r>
      <w:r w:rsidR="00CA4E30">
        <w:t xml:space="preserve"> </w:t>
      </w:r>
      <w:r w:rsidR="00994C7A">
        <w:t>eura</w:t>
      </w:r>
      <w:r>
        <w:t xml:space="preserve">, a odnosi se na prihode od prodaje gradskih stanova koji su planirani u iznosu od </w:t>
      </w:r>
      <w:r w:rsidR="005E7F3B">
        <w:t>1</w:t>
      </w:r>
      <w:r w:rsidR="000A7543">
        <w:t>30</w:t>
      </w:r>
      <w:r w:rsidR="005E7F3B">
        <w:t>.000</w:t>
      </w:r>
      <w:r>
        <w:t xml:space="preserve"> </w:t>
      </w:r>
      <w:r w:rsidR="00994C7A">
        <w:t>eura</w:t>
      </w:r>
      <w:r>
        <w:t xml:space="preserve">, na prihode od prodaje stanova na kojima </w:t>
      </w:r>
      <w:r w:rsidR="002F291C">
        <w:t xml:space="preserve">je </w:t>
      </w:r>
      <w:r>
        <w:t>postoj</w:t>
      </w:r>
      <w:r w:rsidR="002F291C">
        <w:t>alo</w:t>
      </w:r>
      <w:r>
        <w:t xml:space="preserve"> stanarsko pravo uz obročnu otplatu na temelju ugovora iz ranijih godina koji su planirani u iznosu od </w:t>
      </w:r>
      <w:r w:rsidR="000A7543">
        <w:t>110.377</w:t>
      </w:r>
      <w:r>
        <w:t xml:space="preserve"> </w:t>
      </w:r>
      <w:r w:rsidR="00994C7A">
        <w:t>eura</w:t>
      </w:r>
      <w:r>
        <w:t xml:space="preserve"> i prihode od prodaje poslovnih objekata koji su planirani u iznosu od </w:t>
      </w:r>
      <w:r w:rsidR="000A7543">
        <w:t>5.000</w:t>
      </w:r>
      <w:r>
        <w:t xml:space="preserve"> </w:t>
      </w:r>
      <w:r w:rsidR="00994C7A">
        <w:t>eura</w:t>
      </w:r>
      <w:r>
        <w:t xml:space="preserve"> dok se na prihode proračunskih korisnika odnosi </w:t>
      </w:r>
      <w:r w:rsidR="00587623">
        <w:t>11.058</w:t>
      </w:r>
      <w:r>
        <w:t xml:space="preserve"> </w:t>
      </w:r>
      <w:r w:rsidR="00994C7A">
        <w:t>eura</w:t>
      </w:r>
      <w:r>
        <w:t xml:space="preserve">.  Prihodi od prodaje postrojenja i opreme su planirani u iznosu od </w:t>
      </w:r>
      <w:r w:rsidR="00587623">
        <w:t>3.991</w:t>
      </w:r>
      <w:r>
        <w:t xml:space="preserve"> </w:t>
      </w:r>
      <w:r w:rsidR="00994C7A">
        <w:t>eura</w:t>
      </w:r>
      <w:r>
        <w:t xml:space="preserve"> i odnose se na prihode proračunskog korisnika Javne vatrogasne postrojbe </w:t>
      </w:r>
      <w:r w:rsidR="00587623">
        <w:t>(1.991 eura)</w:t>
      </w:r>
      <w:r w:rsidR="00532745">
        <w:t xml:space="preserve"> </w:t>
      </w:r>
      <w:r w:rsidR="00587623">
        <w:t xml:space="preserve">i Aquatike (2.000 eura) </w:t>
      </w:r>
      <w:r>
        <w:t xml:space="preserve">dok su prihodi od prodaje prijevoznih sredstava planirani u iznosu od </w:t>
      </w:r>
      <w:r w:rsidR="00587623">
        <w:t>4</w:t>
      </w:r>
      <w:r w:rsidR="00F63FDE">
        <w:t>.663</w:t>
      </w:r>
      <w:r>
        <w:t xml:space="preserve"> </w:t>
      </w:r>
      <w:r w:rsidR="00994C7A">
        <w:t>eura</w:t>
      </w:r>
      <w:r>
        <w:t xml:space="preserve"> i odnose se na </w:t>
      </w:r>
      <w:r w:rsidR="00587623">
        <w:t>također</w:t>
      </w:r>
      <w:r>
        <w:t xml:space="preserve"> na prihod Javne vatrogasne postrojbe</w:t>
      </w:r>
      <w:r w:rsidR="002324DF">
        <w:t xml:space="preserve"> u iznosu od 663 eura</w:t>
      </w:r>
      <w:r w:rsidR="00587623">
        <w:t xml:space="preserve">, Aquatike iznos od 3.000 eura, </w:t>
      </w:r>
      <w:r w:rsidR="002324DF">
        <w:t xml:space="preserve">dok se na prihod </w:t>
      </w:r>
      <w:r w:rsidR="00587623">
        <w:t xml:space="preserve">Dječjeg vrtića Karlovac </w:t>
      </w:r>
      <w:r w:rsidR="002324DF">
        <w:t xml:space="preserve">odnosi </w:t>
      </w:r>
      <w:r w:rsidR="00587623">
        <w:t>1</w:t>
      </w:r>
      <w:r w:rsidR="00B347B3">
        <w:t>.000 eura</w:t>
      </w:r>
      <w:r>
        <w:t xml:space="preserve">.  </w:t>
      </w:r>
    </w:p>
    <w:p w14:paraId="7CA8A38D" w14:textId="77777777" w:rsidR="00A41BF1" w:rsidRDefault="00A41BF1" w:rsidP="007613FD">
      <w:pPr>
        <w:ind w:firstLine="708"/>
        <w:jc w:val="both"/>
      </w:pPr>
    </w:p>
    <w:p w14:paraId="4E1EC1F7" w14:textId="77777777" w:rsidR="002F291C" w:rsidRDefault="002F291C" w:rsidP="007613FD">
      <w:pPr>
        <w:ind w:firstLine="708"/>
        <w:jc w:val="both"/>
      </w:pPr>
    </w:p>
    <w:p w14:paraId="6AE49967" w14:textId="77777777" w:rsidR="002F291C" w:rsidRDefault="002F291C" w:rsidP="007613FD">
      <w:pPr>
        <w:ind w:firstLine="708"/>
        <w:jc w:val="both"/>
      </w:pPr>
    </w:p>
    <w:p w14:paraId="01A71017" w14:textId="77777777" w:rsidR="002F291C" w:rsidRDefault="002F291C" w:rsidP="007613FD">
      <w:pPr>
        <w:ind w:firstLine="708"/>
        <w:jc w:val="both"/>
      </w:pPr>
    </w:p>
    <w:p w14:paraId="65A6BF07" w14:textId="77777777" w:rsidR="002F291C" w:rsidRDefault="002F291C" w:rsidP="007613FD">
      <w:pPr>
        <w:ind w:firstLine="708"/>
        <w:jc w:val="both"/>
      </w:pPr>
    </w:p>
    <w:p w14:paraId="03CC4F12" w14:textId="166E2B11" w:rsidR="00A41BF1" w:rsidRDefault="007D7D5B" w:rsidP="007613FD">
      <w:pPr>
        <w:pStyle w:val="Heading2"/>
        <w:spacing w:before="0" w:after="0"/>
      </w:pPr>
      <w:r>
        <w:t>PRIMICI OD FINANCIJSKE IMOVINE I ZADUŽIVANJA</w:t>
      </w:r>
    </w:p>
    <w:p w14:paraId="50022680" w14:textId="77777777" w:rsidR="00A41BF1" w:rsidRDefault="00A41BF1" w:rsidP="007613FD"/>
    <w:p w14:paraId="7D8BE8D8" w14:textId="401F8B8E" w:rsidR="00A41BF1" w:rsidRDefault="007D7D5B" w:rsidP="007613FD">
      <w:pPr>
        <w:ind w:firstLine="708"/>
        <w:jc w:val="both"/>
      </w:pPr>
      <w:r>
        <w:t>U 20</w:t>
      </w:r>
      <w:r w:rsidR="00456CF2">
        <w:t>2</w:t>
      </w:r>
      <w:r w:rsidR="00CB2C96">
        <w:t>4</w:t>
      </w:r>
      <w:r>
        <w:t>. godini planiraju se</w:t>
      </w:r>
      <w:r>
        <w:rPr>
          <w:b/>
        </w:rPr>
        <w:t xml:space="preserve"> Primici od financijske imovine i zaduživanja </w:t>
      </w:r>
      <w:r>
        <w:t xml:space="preserve">u iznosu od </w:t>
      </w:r>
      <w:r w:rsidR="00CB2C96">
        <w:t>9.572.585</w:t>
      </w:r>
      <w:r>
        <w:t xml:space="preserve"> </w:t>
      </w:r>
      <w:r w:rsidR="00994C7A">
        <w:t>eura</w:t>
      </w:r>
      <w:r>
        <w:t xml:space="preserve"> </w:t>
      </w:r>
      <w:r w:rsidR="00F318C2">
        <w:t xml:space="preserve">što je </w:t>
      </w:r>
      <w:r w:rsidR="00F318C2" w:rsidRPr="000E78F7">
        <w:t xml:space="preserve">za </w:t>
      </w:r>
      <w:r w:rsidR="00CB2C96">
        <w:t>5</w:t>
      </w:r>
      <w:r w:rsidR="0094218B" w:rsidRPr="000E78F7">
        <w:t>,</w:t>
      </w:r>
      <w:r w:rsidR="00CB2C96">
        <w:t>1</w:t>
      </w:r>
      <w:r w:rsidR="00F318C2" w:rsidRPr="000E78F7">
        <w:t xml:space="preserve"> mil. </w:t>
      </w:r>
      <w:r w:rsidR="00994C7A" w:rsidRPr="000E78F7">
        <w:t>eura</w:t>
      </w:r>
      <w:r w:rsidR="0008235A" w:rsidRPr="000E78F7">
        <w:t xml:space="preserve"> više</w:t>
      </w:r>
      <w:r w:rsidR="00F318C2" w:rsidRPr="000E78F7">
        <w:t xml:space="preserve"> u odnosu na </w:t>
      </w:r>
      <w:r w:rsidR="002167E6">
        <w:t xml:space="preserve">planirano </w:t>
      </w:r>
      <w:r w:rsidR="00CB2C96">
        <w:t>D</w:t>
      </w:r>
      <w:r w:rsidR="002167E6">
        <w:t xml:space="preserve">rugim </w:t>
      </w:r>
      <w:r w:rsidR="00CB2C96">
        <w:t>i</w:t>
      </w:r>
      <w:r w:rsidR="002167E6">
        <w:t xml:space="preserve">zmjenama i dopunama plana za </w:t>
      </w:r>
      <w:r w:rsidR="00F318C2" w:rsidRPr="000E78F7">
        <w:t>202</w:t>
      </w:r>
      <w:r w:rsidR="00CB2C96">
        <w:t>3</w:t>
      </w:r>
      <w:r w:rsidR="00F318C2" w:rsidRPr="000E78F7">
        <w:t>.</w:t>
      </w:r>
      <w:r w:rsidR="0008235A" w:rsidRPr="000E78F7">
        <w:t xml:space="preserve"> </w:t>
      </w:r>
      <w:r w:rsidR="00F318C2" w:rsidRPr="000E78F7">
        <w:t>godinu</w:t>
      </w:r>
      <w:r w:rsidR="00F318C2">
        <w:t>.</w:t>
      </w:r>
      <w:r w:rsidR="007D0210">
        <w:t xml:space="preserve"> Sredstva</w:t>
      </w:r>
      <w:r>
        <w:t xml:space="preserve"> s</w:t>
      </w:r>
      <w:r w:rsidR="007D0210">
        <w:t>u</w:t>
      </w:r>
      <w:r>
        <w:t xml:space="preserve"> namijenjena </w:t>
      </w:r>
      <w:r w:rsidR="008D6912">
        <w:t>sljedećim projektima u 202</w:t>
      </w:r>
      <w:r w:rsidR="00CB2C96">
        <w:t>4</w:t>
      </w:r>
      <w:r w:rsidR="008D6912">
        <w:t>. godini</w:t>
      </w:r>
      <w:r w:rsidR="00140F3F">
        <w:t xml:space="preserve">: </w:t>
      </w:r>
    </w:p>
    <w:p w14:paraId="08835654" w14:textId="5A1531FC" w:rsidR="00140F3F" w:rsidRDefault="00140F3F" w:rsidP="00140F3F">
      <w:pPr>
        <w:pStyle w:val="ListParagraph"/>
        <w:numPr>
          <w:ilvl w:val="0"/>
          <w:numId w:val="25"/>
        </w:numPr>
        <w:jc w:val="both"/>
      </w:pPr>
      <w:r>
        <w:t>Energetska obnova JVP u iznosu od</w:t>
      </w:r>
      <w:r w:rsidR="00CB2C96">
        <w:t xml:space="preserve"> 49.500</w:t>
      </w:r>
      <w:r>
        <w:t xml:space="preserve"> eur</w:t>
      </w:r>
      <w:r w:rsidR="00A8424E">
        <w:t>a</w:t>
      </w:r>
    </w:p>
    <w:p w14:paraId="1F91CD37" w14:textId="5A5D6EC9" w:rsidR="00140F3F" w:rsidRDefault="00140F3F" w:rsidP="00140F3F">
      <w:pPr>
        <w:pStyle w:val="ListParagraph"/>
        <w:numPr>
          <w:ilvl w:val="0"/>
          <w:numId w:val="25"/>
        </w:numPr>
        <w:jc w:val="both"/>
      </w:pPr>
      <w:r>
        <w:t xml:space="preserve">Karlovac II u iznosu od </w:t>
      </w:r>
      <w:r w:rsidR="00CB2C96">
        <w:t>3.430.000</w:t>
      </w:r>
      <w:r w:rsidR="00355301">
        <w:t xml:space="preserve"> eur</w:t>
      </w:r>
      <w:r w:rsidR="006A52BC">
        <w:t>a</w:t>
      </w:r>
      <w:r w:rsidR="00355301">
        <w:t xml:space="preserve"> </w:t>
      </w:r>
    </w:p>
    <w:p w14:paraId="27FE4EF9" w14:textId="6B13DB4E" w:rsidR="00355301" w:rsidRDefault="006903CF" w:rsidP="00140F3F">
      <w:pPr>
        <w:pStyle w:val="ListParagraph"/>
        <w:numPr>
          <w:ilvl w:val="0"/>
          <w:numId w:val="25"/>
        </w:numPr>
        <w:jc w:val="both"/>
      </w:pPr>
      <w:r>
        <w:t xml:space="preserve">Dječji vrtić Rečica </w:t>
      </w:r>
      <w:r w:rsidR="00023FD6">
        <w:t xml:space="preserve">u iznosu od </w:t>
      </w:r>
      <w:r w:rsidR="00CB2C96">
        <w:t>582.300</w:t>
      </w:r>
      <w:r w:rsidR="00023FD6">
        <w:t xml:space="preserve"> eur</w:t>
      </w:r>
      <w:r w:rsidR="006A52BC">
        <w:t>a</w:t>
      </w:r>
    </w:p>
    <w:p w14:paraId="3E157E14" w14:textId="10F22505" w:rsidR="00023FD6" w:rsidRDefault="00EC6773" w:rsidP="00140F3F">
      <w:pPr>
        <w:pStyle w:val="ListParagraph"/>
        <w:numPr>
          <w:ilvl w:val="0"/>
          <w:numId w:val="25"/>
        </w:numPr>
        <w:jc w:val="both"/>
      </w:pPr>
      <w:r>
        <w:t xml:space="preserve">Most Rakovac u iznosu od </w:t>
      </w:r>
      <w:r w:rsidR="00CB2C96">
        <w:t>425</w:t>
      </w:r>
      <w:r>
        <w:t>.000 eur</w:t>
      </w:r>
      <w:r w:rsidR="006A52BC">
        <w:t>a</w:t>
      </w:r>
    </w:p>
    <w:p w14:paraId="3E3A0DEB" w14:textId="3F373E6E" w:rsidR="00EC6773" w:rsidRDefault="00EC6773" w:rsidP="00140F3F">
      <w:pPr>
        <w:pStyle w:val="ListParagraph"/>
        <w:numPr>
          <w:ilvl w:val="0"/>
          <w:numId w:val="25"/>
        </w:numPr>
        <w:jc w:val="both"/>
      </w:pPr>
      <w:r>
        <w:t xml:space="preserve">Dječji vrtić Luščić u </w:t>
      </w:r>
      <w:r w:rsidR="003423DD">
        <w:t>iznosu 1.</w:t>
      </w:r>
      <w:r w:rsidR="00CB2C96">
        <w:t>728</w:t>
      </w:r>
      <w:r w:rsidR="003423DD">
        <w:t>.000 eur</w:t>
      </w:r>
      <w:r w:rsidR="006A52BC">
        <w:t>a</w:t>
      </w:r>
    </w:p>
    <w:p w14:paraId="22478731" w14:textId="07201588" w:rsidR="003423DD" w:rsidRDefault="00A8424E" w:rsidP="00140F3F">
      <w:pPr>
        <w:pStyle w:val="ListParagraph"/>
        <w:numPr>
          <w:ilvl w:val="0"/>
          <w:numId w:val="25"/>
        </w:numPr>
        <w:jc w:val="both"/>
      </w:pPr>
      <w:r>
        <w:t>Karlovac II novi zajam u iznosu od 657.785 eur</w:t>
      </w:r>
      <w:r w:rsidR="006A52BC">
        <w:t>a</w:t>
      </w:r>
    </w:p>
    <w:p w14:paraId="23B8F089" w14:textId="77777777" w:rsidR="00CB2C96" w:rsidRDefault="00CB2C96" w:rsidP="00CB2C96">
      <w:pPr>
        <w:jc w:val="both"/>
      </w:pPr>
    </w:p>
    <w:p w14:paraId="79B17A82" w14:textId="7E822BF8" w:rsidR="00CB2C96" w:rsidRDefault="00CB2C96" w:rsidP="00CB2C96">
      <w:pPr>
        <w:ind w:firstLine="576"/>
        <w:jc w:val="both"/>
      </w:pPr>
      <w:r>
        <w:t>Također, u 2024. godini planirane su novi zajmovi za komunalnu infrastrukturu u iznosu od 1.300.000 eura te za sportsku infrastruktur</w:t>
      </w:r>
      <w:r w:rsidR="00681D5D">
        <w:t>u</w:t>
      </w:r>
      <w:r>
        <w:t xml:space="preserve"> 1.400.000 eura</w:t>
      </w:r>
      <w:r w:rsidR="006F13A9">
        <w:t>.</w:t>
      </w:r>
    </w:p>
    <w:p w14:paraId="7B709955" w14:textId="77777777" w:rsidR="00A41BF1" w:rsidRDefault="00A41BF1" w:rsidP="007613FD">
      <w:pPr>
        <w:jc w:val="both"/>
      </w:pPr>
    </w:p>
    <w:p w14:paraId="29B73D41" w14:textId="1B76FA87" w:rsidR="00A41BF1" w:rsidRDefault="007D7D5B" w:rsidP="007613FD">
      <w:pPr>
        <w:pStyle w:val="Heading2"/>
        <w:spacing w:before="0" w:after="0"/>
        <w:rPr>
          <w:szCs w:val="22"/>
        </w:rPr>
      </w:pPr>
      <w:r>
        <w:t xml:space="preserve">PRENESENI VIŠAK PRIHODA </w:t>
      </w:r>
    </w:p>
    <w:p w14:paraId="75B5A553" w14:textId="77777777" w:rsidR="00A41BF1" w:rsidRDefault="00A41BF1" w:rsidP="007613FD">
      <w:pPr>
        <w:ind w:firstLine="708"/>
        <w:jc w:val="both"/>
        <w:rPr>
          <w:sz w:val="22"/>
          <w:szCs w:val="22"/>
        </w:rPr>
      </w:pPr>
    </w:p>
    <w:p w14:paraId="42123CC2" w14:textId="67AAF06F" w:rsidR="00A41BF1" w:rsidRDefault="007D7D5B" w:rsidP="007613FD">
      <w:pPr>
        <w:jc w:val="both"/>
      </w:pPr>
      <w:r>
        <w:t>U Prijedlogu Proračuna Grada Karlovca za 20</w:t>
      </w:r>
      <w:r w:rsidR="00456CF2">
        <w:t>2</w:t>
      </w:r>
      <w:r w:rsidR="002C02E2">
        <w:t>4</w:t>
      </w:r>
      <w:r>
        <w:t>. godinu planiran je preneseni višak prihoda iz 20</w:t>
      </w:r>
      <w:r w:rsidR="007B5229">
        <w:t>2</w:t>
      </w:r>
      <w:r w:rsidR="002C02E2">
        <w:t>3</w:t>
      </w:r>
      <w:r>
        <w:t xml:space="preserve">. godine u iznosu od </w:t>
      </w:r>
      <w:r w:rsidR="002C02E2">
        <w:t>4.</w:t>
      </w:r>
      <w:r w:rsidR="00502291">
        <w:t>836.814</w:t>
      </w:r>
      <w:r>
        <w:t xml:space="preserve"> </w:t>
      </w:r>
      <w:r w:rsidR="00994C7A">
        <w:t>eura</w:t>
      </w:r>
      <w:r w:rsidR="00C90A94">
        <w:t xml:space="preserve"> od čega višak proračunskih korisnika iznosi </w:t>
      </w:r>
      <w:r w:rsidR="002C02E2">
        <w:t>172.741</w:t>
      </w:r>
      <w:r w:rsidR="00C90A94">
        <w:t xml:space="preserve"> </w:t>
      </w:r>
      <w:r w:rsidR="00994C7A">
        <w:t>eura</w:t>
      </w:r>
      <w:r w:rsidR="00C90A94">
        <w:t xml:space="preserve"> i odnosi se na prijenos namjenskih prihoda za koje se procjenjuje da neće biti utrošeni do kraja godine. Prene</w:t>
      </w:r>
      <w:r w:rsidR="008D5C3D">
        <w:t>sen</w:t>
      </w:r>
      <w:r w:rsidR="00C90A94">
        <w:t>i viškovi Grada iznose</w:t>
      </w:r>
      <w:r w:rsidR="00D97C3B">
        <w:t xml:space="preserve"> </w:t>
      </w:r>
      <w:r w:rsidR="002C02E2">
        <w:t>4</w:t>
      </w:r>
      <w:r w:rsidR="00D97C3B">
        <w:t>,</w:t>
      </w:r>
      <w:r w:rsidR="00502291">
        <w:t>7</w:t>
      </w:r>
      <w:r w:rsidR="00B1568C">
        <w:t xml:space="preserve"> mil. </w:t>
      </w:r>
      <w:r w:rsidR="00994C7A">
        <w:t>eura</w:t>
      </w:r>
      <w:r w:rsidR="00C90A94">
        <w:t xml:space="preserve"> i odnose se na</w:t>
      </w:r>
      <w:r w:rsidR="003F7ABC">
        <w:t>jvećim dijelom na</w:t>
      </w:r>
      <w:r w:rsidR="00C90A94">
        <w:t xml:space="preserve"> sredstva namijenjena </w:t>
      </w:r>
      <w:r w:rsidR="006A3B9B">
        <w:t xml:space="preserve">izgradnji komunalne infrastrukture u sklopu </w:t>
      </w:r>
      <w:r w:rsidR="006A3B9B">
        <w:rPr>
          <w:shd w:val="clear" w:color="auto" w:fill="FFFFFF"/>
        </w:rPr>
        <w:t>projekta Karlovac II</w:t>
      </w:r>
      <w:r w:rsidR="00B150EF">
        <w:rPr>
          <w:shd w:val="clear" w:color="auto" w:fill="FFFFFF"/>
        </w:rPr>
        <w:t xml:space="preserve"> te na sredstva namijenjena projektu sanacije odlagališta Ilovac</w:t>
      </w:r>
      <w:r w:rsidR="00843E6A">
        <w:rPr>
          <w:shd w:val="clear" w:color="auto" w:fill="FFFFFF"/>
        </w:rPr>
        <w:t xml:space="preserve"> i otkupu zemljišta u </w:t>
      </w:r>
      <w:r w:rsidR="005427D7">
        <w:rPr>
          <w:shd w:val="clear" w:color="auto" w:fill="FFFFFF"/>
        </w:rPr>
        <w:t xml:space="preserve">sklopu programa Građenja komunalne infrastrukture. </w:t>
      </w:r>
    </w:p>
    <w:p w14:paraId="50B1BA90" w14:textId="77777777" w:rsidR="00A41BF1" w:rsidRDefault="00A41BF1" w:rsidP="007613FD"/>
    <w:p w14:paraId="4D4F0938" w14:textId="4C1AD634" w:rsidR="00A41BF1" w:rsidRDefault="007D7D5B" w:rsidP="007613FD">
      <w:pPr>
        <w:rPr>
          <w:color w:val="FF0000"/>
        </w:rPr>
      </w:pPr>
      <w:r w:rsidRPr="00DF21CE">
        <w:rPr>
          <w:b/>
        </w:rPr>
        <w:t xml:space="preserve">Tablica </w:t>
      </w:r>
      <w:r w:rsidR="00EA0373" w:rsidRPr="00DF21CE">
        <w:rPr>
          <w:b/>
        </w:rPr>
        <w:t>4</w:t>
      </w:r>
      <w:r w:rsidRPr="00DF21CE">
        <w:rPr>
          <w:b/>
        </w:rPr>
        <w:t>. Prikaz planiranih prihoda i primitaka za razdoblje 20</w:t>
      </w:r>
      <w:r w:rsidR="0012471D" w:rsidRPr="00DF21CE">
        <w:rPr>
          <w:b/>
        </w:rPr>
        <w:t>2</w:t>
      </w:r>
      <w:r w:rsidR="002C02E2" w:rsidRPr="00DF21CE">
        <w:rPr>
          <w:b/>
        </w:rPr>
        <w:t>3</w:t>
      </w:r>
      <w:r w:rsidRPr="00DF21CE">
        <w:rPr>
          <w:b/>
        </w:rPr>
        <w:t>.-202</w:t>
      </w:r>
      <w:r w:rsidR="002C02E2" w:rsidRPr="00DF21CE">
        <w:rPr>
          <w:b/>
        </w:rPr>
        <w:t>6</w:t>
      </w:r>
      <w:r w:rsidRPr="00DF21CE">
        <w:rPr>
          <w:b/>
        </w:rPr>
        <w:t>. prema osnovnim vrstama</w:t>
      </w:r>
      <w:r>
        <w:rPr>
          <w:b/>
          <w:color w:val="FF0000"/>
        </w:rPr>
        <w:t xml:space="preserve"> </w:t>
      </w:r>
    </w:p>
    <w:p w14:paraId="6C217A30" w14:textId="4D42B32E" w:rsidR="00A41BF1" w:rsidRDefault="00DF21CE" w:rsidP="007613FD">
      <w:r w:rsidRPr="00DF21CE">
        <w:rPr>
          <w:noProof/>
        </w:rPr>
        <w:drawing>
          <wp:inline distT="0" distB="0" distL="0" distR="0" wp14:anchorId="2CE9FD75" wp14:editId="5F0125AC">
            <wp:extent cx="5759450" cy="3120390"/>
            <wp:effectExtent l="0" t="0" r="0" b="3810"/>
            <wp:docPr id="12306565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8344" w14:textId="77777777" w:rsidR="00A41BF1" w:rsidRDefault="00A41BF1" w:rsidP="007613FD"/>
    <w:p w14:paraId="140D9D0D" w14:textId="5FFB984A" w:rsidR="00A41BF1" w:rsidRPr="003748AA" w:rsidRDefault="007D7D5B" w:rsidP="007613FD">
      <w:pPr>
        <w:pStyle w:val="Heading1"/>
        <w:spacing w:before="0" w:after="0"/>
      </w:pPr>
      <w:r w:rsidRPr="003748AA">
        <w:t>RASHODI I IZDACI PRORAČUNA</w:t>
      </w:r>
    </w:p>
    <w:p w14:paraId="694EAAED" w14:textId="77777777" w:rsidR="00A41BF1" w:rsidRDefault="00A41BF1" w:rsidP="007613FD">
      <w:pPr>
        <w:ind w:left="360"/>
        <w:jc w:val="both"/>
        <w:rPr>
          <w:u w:val="single"/>
        </w:rPr>
      </w:pPr>
    </w:p>
    <w:p w14:paraId="0A003093" w14:textId="6E85A949" w:rsidR="00A41BF1" w:rsidRDefault="007D7D5B" w:rsidP="007613FD">
      <w:pPr>
        <w:ind w:firstLine="708"/>
        <w:jc w:val="both"/>
      </w:pPr>
      <w:r>
        <w:t>Ukupno planirani rashodi i izdaci koji se predlažu u Prijedlogu Proračuna Grada Karlovca za 20</w:t>
      </w:r>
      <w:r w:rsidR="00C90A94">
        <w:t>2</w:t>
      </w:r>
      <w:r w:rsidR="009E4B31">
        <w:t>4</w:t>
      </w:r>
      <w:r>
        <w:t>. godinu iznose</w:t>
      </w:r>
      <w:r w:rsidR="00953AF7">
        <w:t xml:space="preserve"> </w:t>
      </w:r>
      <w:r w:rsidR="009E4B31">
        <w:t>95.</w:t>
      </w:r>
      <w:r w:rsidR="00DF21CE">
        <w:t>249.310</w:t>
      </w:r>
      <w:r>
        <w:t xml:space="preserve"> </w:t>
      </w:r>
      <w:r w:rsidR="00994C7A">
        <w:t>eura</w:t>
      </w:r>
      <w:r>
        <w:t xml:space="preserve">, te su kao i </w:t>
      </w:r>
      <w:r w:rsidRPr="002167E6">
        <w:t xml:space="preserve">prihodi veći za </w:t>
      </w:r>
      <w:r w:rsidR="009E4B31">
        <w:t>1</w:t>
      </w:r>
      <w:r w:rsidR="00A73B73" w:rsidRPr="002167E6">
        <w:t>3,</w:t>
      </w:r>
      <w:r w:rsidR="00B85D67">
        <w:t>4</w:t>
      </w:r>
      <w:r w:rsidRPr="002167E6">
        <w:t xml:space="preserve"> mil. </w:t>
      </w:r>
      <w:r w:rsidR="00994C7A" w:rsidRPr="002167E6">
        <w:t>eura</w:t>
      </w:r>
      <w:r w:rsidRPr="002167E6">
        <w:t xml:space="preserve"> u odnosu na rashode i izdatke </w:t>
      </w:r>
      <w:r w:rsidR="003B0F7B" w:rsidRPr="002167E6">
        <w:t xml:space="preserve">planirane </w:t>
      </w:r>
      <w:r w:rsidR="009E4B31">
        <w:t>D</w:t>
      </w:r>
      <w:r w:rsidR="00A73B73" w:rsidRPr="002167E6">
        <w:t>r</w:t>
      </w:r>
      <w:r w:rsidR="005D7A50" w:rsidRPr="002167E6">
        <w:t>ugim</w:t>
      </w:r>
      <w:r w:rsidR="002167E6">
        <w:rPr>
          <w:color w:val="FF0000"/>
        </w:rPr>
        <w:t xml:space="preserve"> </w:t>
      </w:r>
      <w:r w:rsidR="009E4B31">
        <w:t>i</w:t>
      </w:r>
      <w:r w:rsidR="005D7A50" w:rsidRPr="002167E6">
        <w:t xml:space="preserve">zmjenama i dopunama </w:t>
      </w:r>
      <w:r w:rsidRPr="002167E6">
        <w:t xml:space="preserve">Proračuna Grada </w:t>
      </w:r>
      <w:r w:rsidRPr="002167E6">
        <w:lastRenderedPageBreak/>
        <w:t>Karlovca za 20</w:t>
      </w:r>
      <w:r w:rsidR="00A66A16" w:rsidRPr="002167E6">
        <w:t>2</w:t>
      </w:r>
      <w:r w:rsidR="009E4B31">
        <w:t>3</w:t>
      </w:r>
      <w:r w:rsidRPr="002167E6">
        <w:t>. godinu. U 202</w:t>
      </w:r>
      <w:r w:rsidR="009E4B31">
        <w:t>5</w:t>
      </w:r>
      <w:r w:rsidRPr="002167E6">
        <w:t xml:space="preserve">. godini predlažu se ukupni rashodi u iznosu od </w:t>
      </w:r>
      <w:r w:rsidR="009E4B31" w:rsidRPr="009E4B31">
        <w:t xml:space="preserve">88.741.687 </w:t>
      </w:r>
      <w:r w:rsidR="00994C7A">
        <w:t>eura</w:t>
      </w:r>
      <w:r w:rsidR="00EA6614">
        <w:t>, a</w:t>
      </w:r>
      <w:r>
        <w:t xml:space="preserve"> u 202</w:t>
      </w:r>
      <w:r w:rsidR="009E4B31">
        <w:t>6</w:t>
      </w:r>
      <w:r>
        <w:t xml:space="preserve">. godini u iznosu od </w:t>
      </w:r>
      <w:r w:rsidR="009E4B31" w:rsidRPr="009E4B31">
        <w:t xml:space="preserve">69.301.367 </w:t>
      </w:r>
      <w:r w:rsidR="00994C7A">
        <w:t>eura</w:t>
      </w:r>
      <w:r>
        <w:t>.</w:t>
      </w:r>
    </w:p>
    <w:p w14:paraId="0CC2B5B5" w14:textId="47F7C944" w:rsidR="00A41BF1" w:rsidRDefault="007D7D5B" w:rsidP="007613FD">
      <w:pPr>
        <w:ind w:firstLine="708"/>
        <w:jc w:val="both"/>
      </w:pPr>
      <w:r>
        <w:t>Rashodi poslovanja planirani su u 20</w:t>
      </w:r>
      <w:r w:rsidR="00C90A94">
        <w:t>2</w:t>
      </w:r>
      <w:r w:rsidR="009E4B31">
        <w:t>4</w:t>
      </w:r>
      <w:r>
        <w:t xml:space="preserve">. godini u iznosu od </w:t>
      </w:r>
      <w:r w:rsidR="009E4B31">
        <w:t>53.778.806</w:t>
      </w:r>
      <w:r w:rsidR="00C90A94">
        <w:t xml:space="preserve"> </w:t>
      </w:r>
      <w:r w:rsidR="00994C7A">
        <w:t>eura</w:t>
      </w:r>
      <w:r>
        <w:t xml:space="preserve"> i u ukupnim rashodima i izdacima sudjeluju s </w:t>
      </w:r>
      <w:r w:rsidR="0064094E">
        <w:t>5</w:t>
      </w:r>
      <w:r w:rsidR="009E4B31">
        <w:t>6,</w:t>
      </w:r>
      <w:r w:rsidR="00DF21CE">
        <w:t>46</w:t>
      </w:r>
      <w:r>
        <w:t xml:space="preserve">%, rashodi za nabavu nefinancijske imovine planirani su u iznosu od </w:t>
      </w:r>
      <w:r w:rsidR="00B85D67">
        <w:t>39.945.504</w:t>
      </w:r>
      <w:r>
        <w:t xml:space="preserve"> </w:t>
      </w:r>
      <w:r w:rsidR="00994C7A">
        <w:t>eura</w:t>
      </w:r>
      <w:r>
        <w:t xml:space="preserve"> i u ukupnim rashodima sudjeluju s </w:t>
      </w:r>
      <w:r w:rsidR="009E4B31">
        <w:t>41</w:t>
      </w:r>
      <w:r w:rsidR="00A05DA3">
        <w:t>,</w:t>
      </w:r>
      <w:r w:rsidR="00B85D67">
        <w:t>94</w:t>
      </w:r>
      <w:r>
        <w:t xml:space="preserve">% dok su izdaci za financijsku imovinu i otplatu zajmova planirani u iznosu od </w:t>
      </w:r>
      <w:r w:rsidR="00284AAC">
        <w:t>1.</w:t>
      </w:r>
      <w:r w:rsidR="009E4B31">
        <w:t>525</w:t>
      </w:r>
      <w:r w:rsidR="00284AAC">
        <w:t>.000</w:t>
      </w:r>
      <w:r>
        <w:t xml:space="preserve">  </w:t>
      </w:r>
      <w:r w:rsidR="00994C7A">
        <w:t>eura</w:t>
      </w:r>
      <w:r>
        <w:t xml:space="preserve"> s udjelom od </w:t>
      </w:r>
      <w:r w:rsidR="00A91B77">
        <w:t>1,</w:t>
      </w:r>
      <w:r w:rsidR="009E4B31">
        <w:t>6</w:t>
      </w:r>
      <w:r>
        <w:t>% u ukupnim rashodima.</w:t>
      </w:r>
      <w:r w:rsidR="00EA6C34">
        <w:t xml:space="preserve"> </w:t>
      </w:r>
      <w:r>
        <w:t xml:space="preserve">U nastavu </w:t>
      </w:r>
      <w:r w:rsidR="00EA6C34">
        <w:t xml:space="preserve">je </w:t>
      </w:r>
      <w:r>
        <w:t>dan pregled osnovnih kategorija rashoda iskazanih po ekonomskoj klasifikaciji:</w:t>
      </w:r>
    </w:p>
    <w:p w14:paraId="40EE226B" w14:textId="77777777" w:rsidR="009C6C78" w:rsidRDefault="009C6C78" w:rsidP="007613FD">
      <w:pPr>
        <w:jc w:val="both"/>
        <w:rPr>
          <w:sz w:val="22"/>
          <w:szCs w:val="22"/>
        </w:rPr>
      </w:pPr>
    </w:p>
    <w:p w14:paraId="0FDC4438" w14:textId="06D48F70" w:rsidR="00A41BF1" w:rsidRDefault="007D7D5B" w:rsidP="007613FD">
      <w:pPr>
        <w:jc w:val="both"/>
        <w:rPr>
          <w:b/>
          <w:sz w:val="22"/>
          <w:szCs w:val="22"/>
        </w:rPr>
      </w:pPr>
      <w:r w:rsidRPr="00B85D67">
        <w:rPr>
          <w:b/>
          <w:sz w:val="22"/>
          <w:szCs w:val="22"/>
        </w:rPr>
        <w:t xml:space="preserve">Tablica </w:t>
      </w:r>
      <w:r w:rsidR="00EA0373" w:rsidRPr="00B85D67">
        <w:rPr>
          <w:b/>
          <w:sz w:val="22"/>
          <w:szCs w:val="22"/>
        </w:rPr>
        <w:t>5</w:t>
      </w:r>
      <w:r w:rsidRPr="00B85D67">
        <w:rPr>
          <w:b/>
          <w:sz w:val="22"/>
          <w:szCs w:val="22"/>
        </w:rPr>
        <w:t>. Prikaz prijedloga planiranih rashoda/izdataka za 202</w:t>
      </w:r>
      <w:r w:rsidR="00B85D67" w:rsidRPr="00B85D67">
        <w:rPr>
          <w:b/>
          <w:sz w:val="22"/>
          <w:szCs w:val="22"/>
        </w:rPr>
        <w:t>4</w:t>
      </w:r>
      <w:r w:rsidRPr="00B85D67">
        <w:rPr>
          <w:b/>
          <w:sz w:val="22"/>
          <w:szCs w:val="22"/>
        </w:rPr>
        <w:t>. godinu</w:t>
      </w:r>
      <w:r>
        <w:rPr>
          <w:b/>
          <w:sz w:val="22"/>
          <w:szCs w:val="22"/>
        </w:rPr>
        <w:t xml:space="preserve"> </w:t>
      </w:r>
    </w:p>
    <w:p w14:paraId="446FCA5E" w14:textId="77777777" w:rsidR="00EA6C34" w:rsidRDefault="00EA6C34" w:rsidP="007613FD">
      <w:pPr>
        <w:jc w:val="both"/>
        <w:rPr>
          <w:b/>
          <w:sz w:val="22"/>
          <w:szCs w:val="22"/>
        </w:rPr>
      </w:pPr>
    </w:p>
    <w:p w14:paraId="59E8E9E2" w14:textId="25731639" w:rsidR="008E15CA" w:rsidRDefault="00CF000A" w:rsidP="007613FD">
      <w:pPr>
        <w:jc w:val="both"/>
        <w:rPr>
          <w:b/>
          <w:sz w:val="22"/>
          <w:szCs w:val="22"/>
        </w:rPr>
      </w:pPr>
      <w:r w:rsidRPr="00CF000A">
        <w:rPr>
          <w:noProof/>
        </w:rPr>
        <w:drawing>
          <wp:inline distT="0" distB="0" distL="0" distR="0" wp14:anchorId="3354F90F" wp14:editId="19CCEF4C">
            <wp:extent cx="5759450" cy="3523615"/>
            <wp:effectExtent l="0" t="0" r="0" b="635"/>
            <wp:docPr id="15790477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E5526" w14:textId="77777777" w:rsidR="003767C7" w:rsidRDefault="003767C7" w:rsidP="007613FD">
      <w:pPr>
        <w:jc w:val="both"/>
      </w:pPr>
      <w:bookmarkStart w:id="0" w:name="gjdgxs" w:colFirst="0" w:colLast="0"/>
      <w:bookmarkEnd w:id="0"/>
    </w:p>
    <w:p w14:paraId="4B8C17F6" w14:textId="0085587E" w:rsidR="00A41BF1" w:rsidRDefault="007D7D5B" w:rsidP="007613FD">
      <w:pPr>
        <w:pStyle w:val="Heading2"/>
        <w:spacing w:before="0" w:after="0"/>
      </w:pPr>
      <w:r>
        <w:t>RASHODI POSLOVANJA</w:t>
      </w:r>
    </w:p>
    <w:p w14:paraId="5880064B" w14:textId="77777777" w:rsidR="00A41BF1" w:rsidRDefault="00A41BF1" w:rsidP="007613FD">
      <w:pPr>
        <w:jc w:val="both"/>
        <w:rPr>
          <w:sz w:val="22"/>
          <w:szCs w:val="22"/>
        </w:rPr>
      </w:pPr>
    </w:p>
    <w:p w14:paraId="00A334E0" w14:textId="1430047C" w:rsidR="00A41BF1" w:rsidRDefault="007D7D5B" w:rsidP="00955888">
      <w:pPr>
        <w:ind w:firstLine="708"/>
        <w:jc w:val="both"/>
      </w:pPr>
      <w:r>
        <w:t>Rashodi poslovanja planirani su u 20</w:t>
      </w:r>
      <w:r w:rsidR="00D2710F">
        <w:t>2</w:t>
      </w:r>
      <w:r w:rsidR="002E5F03">
        <w:t>4</w:t>
      </w:r>
      <w:r>
        <w:t xml:space="preserve">. godini u ukupnom iznosu od </w:t>
      </w:r>
      <w:r w:rsidR="002E5F03">
        <w:t>53.778.806</w:t>
      </w:r>
      <w:r>
        <w:t xml:space="preserve"> </w:t>
      </w:r>
      <w:r w:rsidR="00994C7A">
        <w:t>eura</w:t>
      </w:r>
      <w:r>
        <w:t xml:space="preserve"> </w:t>
      </w:r>
      <w:r w:rsidRPr="002167E6">
        <w:t xml:space="preserve">što je za </w:t>
      </w:r>
      <w:r w:rsidR="002E5F03">
        <w:t>0</w:t>
      </w:r>
      <w:r w:rsidR="003E310A" w:rsidRPr="002167E6">
        <w:t>,8</w:t>
      </w:r>
      <w:r w:rsidR="00D2710F" w:rsidRPr="002167E6">
        <w:t xml:space="preserve"> mil.</w:t>
      </w:r>
      <w:r w:rsidRPr="002167E6">
        <w:t xml:space="preserve"> </w:t>
      </w:r>
      <w:r w:rsidR="00994C7A" w:rsidRPr="002167E6">
        <w:t>eura</w:t>
      </w:r>
      <w:r w:rsidRPr="002167E6">
        <w:t xml:space="preserve"> </w:t>
      </w:r>
      <w:r w:rsidR="003E310A" w:rsidRPr="002167E6">
        <w:t>više</w:t>
      </w:r>
      <w:r w:rsidRPr="002167E6">
        <w:t xml:space="preserve"> u odnosu na planiran</w:t>
      </w:r>
      <w:r w:rsidR="00744A3E" w:rsidRPr="002167E6">
        <w:t xml:space="preserve">o </w:t>
      </w:r>
      <w:r w:rsidR="002E5F03">
        <w:t>D</w:t>
      </w:r>
      <w:r w:rsidR="00744A3E" w:rsidRPr="002167E6">
        <w:t>rugim</w:t>
      </w:r>
      <w:r w:rsidR="00D2710F" w:rsidRPr="002167E6">
        <w:t xml:space="preserve"> </w:t>
      </w:r>
      <w:r w:rsidR="002E5F03">
        <w:t>i</w:t>
      </w:r>
      <w:r w:rsidR="003E310A" w:rsidRPr="002167E6">
        <w:t>zmjenama i dopunama</w:t>
      </w:r>
      <w:r w:rsidRPr="002167E6">
        <w:t xml:space="preserve"> </w:t>
      </w:r>
      <w:r w:rsidR="00DF385B">
        <w:t>p</w:t>
      </w:r>
      <w:r w:rsidRPr="002167E6">
        <w:t>roračuna Grada Karlovca za 20</w:t>
      </w:r>
      <w:r w:rsidR="00DD5320" w:rsidRPr="002167E6">
        <w:t>2</w:t>
      </w:r>
      <w:r w:rsidR="002E5F03">
        <w:t>3</w:t>
      </w:r>
      <w:r w:rsidRPr="002167E6">
        <w:t>. godinu. U</w:t>
      </w:r>
      <w:r>
        <w:t xml:space="preserve"> ukupnim rashodima i izdacima za 20</w:t>
      </w:r>
      <w:r w:rsidR="00D2710F">
        <w:t>2</w:t>
      </w:r>
      <w:r w:rsidR="003E310A">
        <w:t>3</w:t>
      </w:r>
      <w:r>
        <w:t xml:space="preserve">. godinu sudjeluju s </w:t>
      </w:r>
      <w:r w:rsidR="0053442D">
        <w:t>5</w:t>
      </w:r>
      <w:r w:rsidR="002E5F03">
        <w:t>6,</w:t>
      </w:r>
      <w:r w:rsidR="00CF000A">
        <w:t>46</w:t>
      </w:r>
      <w:r>
        <w:t>%</w:t>
      </w:r>
      <w:r w:rsidR="00163478">
        <w:t>.</w:t>
      </w:r>
      <w:r w:rsidR="00955888">
        <w:t xml:space="preserve"> </w:t>
      </w:r>
      <w:r>
        <w:t>Predloženi rashodi poslovanj</w:t>
      </w:r>
      <w:r w:rsidR="002E5F03">
        <w:t>a</w:t>
      </w:r>
      <w:r>
        <w:t xml:space="preserve"> planirani su po skupinama rashoda i izdataka ekonomske klasifikacije kako slijedi:</w:t>
      </w:r>
    </w:p>
    <w:p w14:paraId="27484962" w14:textId="77777777" w:rsidR="003767C7" w:rsidRDefault="003767C7" w:rsidP="007613FD">
      <w:pPr>
        <w:jc w:val="both"/>
      </w:pPr>
    </w:p>
    <w:p w14:paraId="2370BB4D" w14:textId="2409CE9E" w:rsidR="00A41BF1" w:rsidRDefault="007D7D5B" w:rsidP="007613FD">
      <w:pPr>
        <w:pStyle w:val="Heading3"/>
        <w:spacing w:before="0" w:after="0"/>
      </w:pPr>
      <w:r>
        <w:t>RASHODI ZA ZAPOSLENE</w:t>
      </w:r>
    </w:p>
    <w:p w14:paraId="36CE3973" w14:textId="77777777" w:rsidR="00A41BF1" w:rsidRDefault="00A41BF1" w:rsidP="007613FD">
      <w:pPr>
        <w:jc w:val="both"/>
      </w:pPr>
    </w:p>
    <w:p w14:paraId="4FCD692C" w14:textId="6256D807" w:rsidR="00D26632" w:rsidRPr="00210B87" w:rsidRDefault="007D7D5B" w:rsidP="00463B49">
      <w:pPr>
        <w:ind w:firstLine="708"/>
        <w:jc w:val="both"/>
      </w:pPr>
      <w:r>
        <w:rPr>
          <w:b/>
        </w:rPr>
        <w:t xml:space="preserve">Rashodi za zaposlene </w:t>
      </w:r>
      <w:r>
        <w:t>(plaće, ostali rashodi za zaposlene</w:t>
      </w:r>
      <w:r w:rsidR="007437FA">
        <w:t xml:space="preserve"> te</w:t>
      </w:r>
      <w:r>
        <w:t xml:space="preserve"> doprinosi na plaće</w:t>
      </w:r>
      <w:r w:rsidR="007437FA">
        <w:t>)</w:t>
      </w:r>
      <w:r>
        <w:t xml:space="preserve"> koji se odnose ukupno na djelatnike Gradske uprave i proračunske korisnike, planirani su u iznosu od </w:t>
      </w:r>
      <w:r w:rsidR="002E5F03">
        <w:t>25.792.</w:t>
      </w:r>
      <w:r w:rsidR="00FD4B06">
        <w:t>372</w:t>
      </w:r>
      <w:r>
        <w:t xml:space="preserve"> </w:t>
      </w:r>
      <w:r w:rsidR="00994C7A">
        <w:t>eura</w:t>
      </w:r>
      <w:r>
        <w:t xml:space="preserve">, što </w:t>
      </w:r>
      <w:r w:rsidRPr="002167E6">
        <w:t xml:space="preserve">je za </w:t>
      </w:r>
      <w:r w:rsidR="00591B6C" w:rsidRPr="002167E6">
        <w:t>1,</w:t>
      </w:r>
      <w:r w:rsidR="00FD4B06">
        <w:t>8</w:t>
      </w:r>
      <w:r w:rsidRPr="002167E6">
        <w:t xml:space="preserve"> mil. </w:t>
      </w:r>
      <w:r w:rsidR="00994C7A" w:rsidRPr="002167E6">
        <w:t>eura</w:t>
      </w:r>
      <w:r w:rsidRPr="002167E6">
        <w:t xml:space="preserve"> </w:t>
      </w:r>
      <w:r w:rsidR="00F21F6D" w:rsidRPr="002167E6">
        <w:t xml:space="preserve">više </w:t>
      </w:r>
      <w:r w:rsidRPr="002167E6">
        <w:t xml:space="preserve">u odnosu na </w:t>
      </w:r>
      <w:r w:rsidR="00FD4B06">
        <w:t>D</w:t>
      </w:r>
      <w:r w:rsidR="009F1EE7" w:rsidRPr="002167E6">
        <w:t>ruge</w:t>
      </w:r>
      <w:r w:rsidRPr="002167E6">
        <w:t xml:space="preserve"> </w:t>
      </w:r>
      <w:r w:rsidR="00FD4B06">
        <w:t>i</w:t>
      </w:r>
      <w:r w:rsidRPr="002167E6">
        <w:t xml:space="preserve">zmjene </w:t>
      </w:r>
      <w:r w:rsidR="00FD4B06">
        <w:t>i</w:t>
      </w:r>
      <w:r w:rsidRPr="002167E6">
        <w:t xml:space="preserve"> dopune Proračuna Grada Karlovca za 20</w:t>
      </w:r>
      <w:r w:rsidR="000F02F6" w:rsidRPr="002167E6">
        <w:t>2</w:t>
      </w:r>
      <w:r w:rsidR="00FD4B06">
        <w:t>3</w:t>
      </w:r>
      <w:r w:rsidRPr="002167E6">
        <w:t>. godinu. Planirani iznos rashoda za zaposlene u strukturi</w:t>
      </w:r>
      <w:r>
        <w:t xml:space="preserve"> ukupnih proračunskih rashoda čini </w:t>
      </w:r>
      <w:r w:rsidR="00C001BA">
        <w:t>27,</w:t>
      </w:r>
      <w:r w:rsidR="00CF000A">
        <w:t>08</w:t>
      </w:r>
      <w:r>
        <w:t>%</w:t>
      </w:r>
      <w:r w:rsidR="00FD4B06">
        <w:t>, od čega</w:t>
      </w:r>
      <w:r>
        <w:t xml:space="preserve"> su planirani </w:t>
      </w:r>
      <w:r w:rsidRPr="00907100">
        <w:t xml:space="preserve">rashodi za zaposlene u Gradskoj upravi </w:t>
      </w:r>
      <w:r w:rsidR="009449BA">
        <w:t>3,</w:t>
      </w:r>
      <w:r w:rsidR="00FD4B06">
        <w:t>7</w:t>
      </w:r>
      <w:r w:rsidR="00163478" w:rsidRPr="00F40813">
        <w:t xml:space="preserve"> </w:t>
      </w:r>
      <w:r w:rsidRPr="00F40813">
        <w:t>mil.</w:t>
      </w:r>
      <w:r w:rsidR="0044611D">
        <w:t xml:space="preserve"> </w:t>
      </w:r>
      <w:r w:rsidR="00994C7A">
        <w:t>eura</w:t>
      </w:r>
      <w:r w:rsidR="00FD4B06">
        <w:t>.</w:t>
      </w:r>
      <w:r w:rsidR="00F40813" w:rsidRPr="00F40813">
        <w:t xml:space="preserve"> </w:t>
      </w:r>
      <w:r w:rsidRPr="002167E6">
        <w:t>Plan rashoda za zaposlene u Gradskoj upravi odnosi se na plaće (bruto) u</w:t>
      </w:r>
      <w:r>
        <w:t xml:space="preserve"> iznosu od </w:t>
      </w:r>
      <w:r w:rsidR="000F1BA9">
        <w:t xml:space="preserve">2,9 </w:t>
      </w:r>
      <w:r w:rsidRPr="003A720B">
        <w:t xml:space="preserve">mil. </w:t>
      </w:r>
      <w:r w:rsidR="00994C7A">
        <w:t>eura</w:t>
      </w:r>
      <w:r w:rsidRPr="003A720B">
        <w:t xml:space="preserve">, ostali rashodi za zaposlene planirani su u iznosu od </w:t>
      </w:r>
      <w:r w:rsidR="00FD4B06">
        <w:t>320.000</w:t>
      </w:r>
      <w:r w:rsidRPr="003A720B">
        <w:t xml:space="preserve"> </w:t>
      </w:r>
      <w:r w:rsidR="00994C7A">
        <w:t>eura</w:t>
      </w:r>
      <w:r w:rsidRPr="003A720B">
        <w:t xml:space="preserve"> dok su</w:t>
      </w:r>
      <w:r>
        <w:t xml:space="preserve"> doprinosi na plaću planirani u iznosu </w:t>
      </w:r>
      <w:r w:rsidRPr="003A720B">
        <w:t xml:space="preserve">od </w:t>
      </w:r>
      <w:r w:rsidR="00FD4B06">
        <w:t>475.500</w:t>
      </w:r>
      <w:r w:rsidR="000B7717" w:rsidRPr="003A720B">
        <w:t xml:space="preserve"> </w:t>
      </w:r>
      <w:r w:rsidR="00994C7A">
        <w:t>eura</w:t>
      </w:r>
      <w:r w:rsidR="00D51850">
        <w:t xml:space="preserve"> i čine oko 10% izvornih prihoda proračuna</w:t>
      </w:r>
      <w:r w:rsidRPr="00210B87">
        <w:t>.</w:t>
      </w:r>
      <w:r w:rsidR="003A720B" w:rsidRPr="00210B87">
        <w:t xml:space="preserve"> </w:t>
      </w:r>
    </w:p>
    <w:p w14:paraId="2CEE30CE" w14:textId="77777777" w:rsidR="005117F6" w:rsidRPr="00D26632" w:rsidRDefault="005117F6" w:rsidP="00D51850">
      <w:pPr>
        <w:jc w:val="both"/>
      </w:pPr>
    </w:p>
    <w:p w14:paraId="29479F29" w14:textId="3B2309CF" w:rsidR="00A41BF1" w:rsidRPr="00D26632" w:rsidRDefault="007D7D5B" w:rsidP="007613FD">
      <w:pPr>
        <w:pStyle w:val="Heading3"/>
        <w:spacing w:before="0" w:after="0"/>
      </w:pPr>
      <w:r w:rsidRPr="00D26632">
        <w:lastRenderedPageBreak/>
        <w:t>MATERIJALNI RASHODI</w:t>
      </w:r>
    </w:p>
    <w:p w14:paraId="3BB1BFA3" w14:textId="77777777" w:rsidR="00A41BF1" w:rsidRDefault="00A41BF1" w:rsidP="007613FD">
      <w:pPr>
        <w:ind w:firstLine="708"/>
        <w:jc w:val="both"/>
      </w:pPr>
    </w:p>
    <w:p w14:paraId="2D119E97" w14:textId="47FC4304" w:rsidR="00A41BF1" w:rsidRDefault="007D7D5B" w:rsidP="007613FD">
      <w:pPr>
        <w:ind w:firstLine="708"/>
        <w:jc w:val="both"/>
      </w:pPr>
      <w:r>
        <w:rPr>
          <w:b/>
        </w:rPr>
        <w:t>Materijalni rashodi</w:t>
      </w:r>
      <w:r>
        <w:t xml:space="preserve"> se odnose na rashode za izvršavanje programskih aktivnosti i redovno poslovanje </w:t>
      </w:r>
      <w:r w:rsidR="000413C0">
        <w:t xml:space="preserve">Grada i </w:t>
      </w:r>
      <w:r>
        <w:t>svih korisnika proračuna i u 20</w:t>
      </w:r>
      <w:r w:rsidR="00163478">
        <w:t>2</w:t>
      </w:r>
      <w:r w:rsidR="00463B49">
        <w:t>4</w:t>
      </w:r>
      <w:r>
        <w:t xml:space="preserve">. godini planirani su u visini od </w:t>
      </w:r>
      <w:r w:rsidR="00463B49">
        <w:t>20.788.889</w:t>
      </w:r>
      <w:r>
        <w:t xml:space="preserve"> </w:t>
      </w:r>
      <w:r w:rsidR="00994C7A">
        <w:t>eura</w:t>
      </w:r>
      <w:r w:rsidR="005137F8">
        <w:t>,</w:t>
      </w:r>
      <w:r>
        <w:t xml:space="preserve"> </w:t>
      </w:r>
      <w:r w:rsidR="005137F8">
        <w:t>te</w:t>
      </w:r>
      <w:r w:rsidR="001B27F1">
        <w:t xml:space="preserve"> u strukturi ukupnih rashoda </w:t>
      </w:r>
      <w:r w:rsidR="00CA3B99">
        <w:t>čine 2</w:t>
      </w:r>
      <w:r w:rsidR="00463B49">
        <w:t>1,8</w:t>
      </w:r>
      <w:r w:rsidR="00CF000A">
        <w:t>3</w:t>
      </w:r>
      <w:r w:rsidR="00CA3B99">
        <w:t xml:space="preserve">%. </w:t>
      </w:r>
    </w:p>
    <w:p w14:paraId="17FDE08C" w14:textId="32713D60" w:rsidR="00A41BF1" w:rsidRDefault="007D7D5B" w:rsidP="007613FD">
      <w:pPr>
        <w:ind w:firstLine="708"/>
        <w:jc w:val="both"/>
      </w:pPr>
      <w:r>
        <w:t>Materijalne rashode čine naknade troškova zaposlenima, rashodi za materijal i energiju, rashodi za usluge, naknade troškova osobama izvan radnog odnosa, te ostali rashodi poslovanja koji uključuju naknade za rad predstavničkih i izvršnih tijela i upravnih vijeća, premije osiguranja, reprezentacije, članarine</w:t>
      </w:r>
      <w:r w:rsidR="00E44C73">
        <w:t>,</w:t>
      </w:r>
      <w:r>
        <w:t xml:space="preserve"> upravne, administrativne i sudske pristojbe i ostali slični rashodi. </w:t>
      </w:r>
    </w:p>
    <w:p w14:paraId="019C1E99" w14:textId="68344FF6" w:rsidR="00A41BF1" w:rsidRDefault="007D7D5B" w:rsidP="00463B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color w:val="000000"/>
        </w:rPr>
        <w:t xml:space="preserve">U strukturi materijalnih rashoda najveći udio od </w:t>
      </w:r>
      <w:r w:rsidR="00223100">
        <w:rPr>
          <w:color w:val="000000"/>
        </w:rPr>
        <w:t>6</w:t>
      </w:r>
      <w:r w:rsidR="00463B49">
        <w:rPr>
          <w:color w:val="000000"/>
        </w:rPr>
        <w:t>6,8</w:t>
      </w:r>
      <w:r w:rsidR="00566314">
        <w:rPr>
          <w:color w:val="000000"/>
        </w:rPr>
        <w:t>7</w:t>
      </w:r>
      <w:r>
        <w:rPr>
          <w:color w:val="000000"/>
        </w:rPr>
        <w:t xml:space="preserve">% imaju rashodi za usluge koji su planirani u iznosu od </w:t>
      </w:r>
      <w:r w:rsidR="00463B49">
        <w:rPr>
          <w:color w:val="000000"/>
        </w:rPr>
        <w:t>13.901.449</w:t>
      </w:r>
      <w:r w:rsidR="009F2D02"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(zakupnine, usluge tekućeg i investicijskog održavanja objekata, komunalne usluge, održavanje komunalne infrastrukture, usluge promidžbe i informiranja, intelektualne usluge i druge usluge) dok se na rashode za materijal i energiju (troškovi energije, uredski materijal, sitni inventar i drugi materijalni rashodi) odnosi </w:t>
      </w:r>
      <w:r w:rsidR="00463B49">
        <w:rPr>
          <w:color w:val="000000"/>
        </w:rPr>
        <w:t>20,</w:t>
      </w:r>
      <w:r w:rsidR="00566314">
        <w:rPr>
          <w:color w:val="000000"/>
        </w:rPr>
        <w:t>19</w:t>
      </w:r>
      <w:r>
        <w:rPr>
          <w:color w:val="000000"/>
        </w:rPr>
        <w:t xml:space="preserve">% ukupnih materijalnih rashoda i oni iznose </w:t>
      </w:r>
      <w:r w:rsidR="00463B49">
        <w:rPr>
          <w:color w:val="000000"/>
        </w:rPr>
        <w:t>4.197.907</w:t>
      </w:r>
      <w:r w:rsidR="00AE0C49"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. </w:t>
      </w:r>
      <w:r w:rsidR="00A747A6">
        <w:rPr>
          <w:color w:val="000000"/>
        </w:rPr>
        <w:t>Naknade troškova zaposlenima</w:t>
      </w:r>
      <w:r w:rsidR="0073053B">
        <w:rPr>
          <w:color w:val="000000"/>
        </w:rPr>
        <w:t xml:space="preserve"> (naknada za prijevoz)</w:t>
      </w:r>
      <w:r w:rsidR="00A747A6">
        <w:rPr>
          <w:color w:val="000000"/>
        </w:rPr>
        <w:t xml:space="preserve"> iznose </w:t>
      </w:r>
      <w:r w:rsidR="00463B49">
        <w:rPr>
          <w:color w:val="000000"/>
        </w:rPr>
        <w:t>1.283.362</w:t>
      </w:r>
      <w:r w:rsidR="00DB0D1D">
        <w:rPr>
          <w:color w:val="000000"/>
        </w:rPr>
        <w:t xml:space="preserve"> </w:t>
      </w:r>
      <w:r w:rsidR="00994C7A">
        <w:rPr>
          <w:color w:val="000000"/>
        </w:rPr>
        <w:t>eura</w:t>
      </w:r>
      <w:r w:rsidR="00DB0D1D">
        <w:rPr>
          <w:color w:val="000000"/>
        </w:rPr>
        <w:t xml:space="preserve"> i sudjeluju s </w:t>
      </w:r>
      <w:r w:rsidR="00463B49">
        <w:rPr>
          <w:color w:val="000000"/>
        </w:rPr>
        <w:t>6,1</w:t>
      </w:r>
      <w:r w:rsidR="00566314">
        <w:rPr>
          <w:color w:val="000000"/>
        </w:rPr>
        <w:t>7</w:t>
      </w:r>
      <w:r w:rsidR="00DB0D1D">
        <w:rPr>
          <w:color w:val="000000"/>
        </w:rPr>
        <w:t>%</w:t>
      </w:r>
      <w:r w:rsidR="006743DC">
        <w:rPr>
          <w:color w:val="000000"/>
        </w:rPr>
        <w:t xml:space="preserve"> u ukupnim materijalnim rashodima, </w:t>
      </w:r>
      <w:r w:rsidR="00DB0D1D">
        <w:rPr>
          <w:color w:val="000000"/>
        </w:rPr>
        <w:t>o</w:t>
      </w:r>
      <w:r>
        <w:rPr>
          <w:color w:val="000000"/>
        </w:rPr>
        <w:t xml:space="preserve">stali nespomenuti rashodi poslovanja čine </w:t>
      </w:r>
      <w:r w:rsidR="00463B49">
        <w:rPr>
          <w:color w:val="000000"/>
        </w:rPr>
        <w:t>6,3</w:t>
      </w:r>
      <w:r w:rsidR="00566314">
        <w:rPr>
          <w:color w:val="000000"/>
        </w:rPr>
        <w:t>0</w:t>
      </w:r>
      <w:r>
        <w:rPr>
          <w:color w:val="000000"/>
        </w:rPr>
        <w:t xml:space="preserve">%, a planirani su u iznosu od </w:t>
      </w:r>
      <w:r w:rsidR="00463B49">
        <w:rPr>
          <w:color w:val="000000"/>
        </w:rPr>
        <w:t>1.310.428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 w:rsidR="00E44C73">
        <w:rPr>
          <w:color w:val="000000"/>
        </w:rPr>
        <w:t>,</w:t>
      </w:r>
      <w:r>
        <w:rPr>
          <w:color w:val="000000"/>
        </w:rPr>
        <w:t xml:space="preserve"> </w:t>
      </w:r>
      <w:r w:rsidR="005608FC">
        <w:rPr>
          <w:color w:val="000000"/>
        </w:rPr>
        <w:t xml:space="preserve">dok </w:t>
      </w:r>
      <w:r>
        <w:rPr>
          <w:color w:val="000000"/>
        </w:rPr>
        <w:t xml:space="preserve">naknade troškova osobama izvan radnog odnosa iznose </w:t>
      </w:r>
      <w:r w:rsidR="00463B49">
        <w:rPr>
          <w:color w:val="000000"/>
        </w:rPr>
        <w:t>95.743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 čine </w:t>
      </w:r>
      <w:r w:rsidR="00DF3A9E">
        <w:rPr>
          <w:color w:val="000000"/>
        </w:rPr>
        <w:t>0,</w:t>
      </w:r>
      <w:r w:rsidR="00463B49">
        <w:rPr>
          <w:color w:val="000000"/>
        </w:rPr>
        <w:t>46</w:t>
      </w:r>
      <w:r>
        <w:rPr>
          <w:color w:val="000000"/>
        </w:rPr>
        <w:t>% materijalnih rashoda.</w:t>
      </w:r>
    </w:p>
    <w:p w14:paraId="5D4E8ED9" w14:textId="77777777" w:rsidR="00A41BF1" w:rsidRDefault="00A41BF1" w:rsidP="007613FD">
      <w:pPr>
        <w:jc w:val="both"/>
      </w:pPr>
    </w:p>
    <w:p w14:paraId="29CB0EAD" w14:textId="00E05E11" w:rsidR="00A41BF1" w:rsidRDefault="007D7D5B" w:rsidP="007613FD">
      <w:pPr>
        <w:pStyle w:val="Heading3"/>
        <w:spacing w:before="0" w:after="0"/>
      </w:pPr>
      <w:r>
        <w:t>FINANCIJSKI RASHODI</w:t>
      </w:r>
    </w:p>
    <w:p w14:paraId="6DFEBABE" w14:textId="77777777" w:rsidR="00A41BF1" w:rsidRDefault="00A41BF1" w:rsidP="007613FD">
      <w:pPr>
        <w:jc w:val="both"/>
      </w:pPr>
    </w:p>
    <w:p w14:paraId="604EF831" w14:textId="3EABF85B" w:rsidR="00A41BF1" w:rsidRDefault="007D7D5B" w:rsidP="007613FD">
      <w:pPr>
        <w:ind w:firstLine="708"/>
        <w:jc w:val="both"/>
      </w:pPr>
      <w:r>
        <w:rPr>
          <w:b/>
        </w:rPr>
        <w:t xml:space="preserve">Financijski rashodi </w:t>
      </w:r>
      <w:r>
        <w:t xml:space="preserve">(kamate za primljene </w:t>
      </w:r>
      <w:r w:rsidR="00463B49">
        <w:t xml:space="preserve">kredite i </w:t>
      </w:r>
      <w:r>
        <w:t xml:space="preserve">zajmove i ostali financijski rashodi) planirani su u iznosu od </w:t>
      </w:r>
      <w:r w:rsidR="00463B49">
        <w:t>503.241</w:t>
      </w:r>
      <w:r>
        <w:t xml:space="preserve"> </w:t>
      </w:r>
      <w:r w:rsidR="00994C7A">
        <w:t>eura</w:t>
      </w:r>
      <w:r>
        <w:t>, a u ukupno planiranim rashodima i izdacima u Proračunu Grada Karlovca za 20</w:t>
      </w:r>
      <w:r w:rsidR="00950187">
        <w:t>2</w:t>
      </w:r>
      <w:r w:rsidR="0018760E">
        <w:t>4</w:t>
      </w:r>
      <w:r>
        <w:t>. godinu sudjeluju s 0,</w:t>
      </w:r>
      <w:r w:rsidR="00463B49">
        <w:t>53</w:t>
      </w:r>
      <w:r>
        <w:t>%.</w:t>
      </w:r>
    </w:p>
    <w:p w14:paraId="509462AA" w14:textId="7716FEB8" w:rsidR="00A41BF1" w:rsidRDefault="007D7D5B" w:rsidP="007613FD">
      <w:pPr>
        <w:ind w:firstLine="708"/>
        <w:jc w:val="both"/>
      </w:pPr>
      <w:r>
        <w:t xml:space="preserve"> Kamate za primljene kredite planirane su u iznosu od </w:t>
      </w:r>
      <w:r w:rsidR="00F107B4">
        <w:t>1</w:t>
      </w:r>
      <w:r w:rsidR="00463B49">
        <w:t>15</w:t>
      </w:r>
      <w:r w:rsidR="00F107B4">
        <w:t>.000</w:t>
      </w:r>
      <w:r>
        <w:t xml:space="preserve"> </w:t>
      </w:r>
      <w:r w:rsidR="00994C7A">
        <w:t>eura</w:t>
      </w:r>
      <w:r>
        <w:t xml:space="preserve"> sukladno otplatnim planovima za kredite koje otplaćuje Grad. Ostali financijski rashodi predlažu se u iznosu od </w:t>
      </w:r>
      <w:r w:rsidR="00463B49">
        <w:t>388.241</w:t>
      </w:r>
      <w:r>
        <w:t xml:space="preserve"> </w:t>
      </w:r>
      <w:r w:rsidR="00994C7A">
        <w:t>eura</w:t>
      </w:r>
      <w:r w:rsidR="007C0370">
        <w:t xml:space="preserve">, a </w:t>
      </w:r>
      <w:r>
        <w:t>obuhvaćaju rashode za bankarske usluge, usluge platnog prometa i kamate i naknade koje su proizašle iz drugih ugovornih odnosa.</w:t>
      </w:r>
    </w:p>
    <w:p w14:paraId="106A3EF0" w14:textId="77777777" w:rsidR="0064654E" w:rsidRDefault="0064654E" w:rsidP="00355448">
      <w:pPr>
        <w:jc w:val="both"/>
      </w:pPr>
    </w:p>
    <w:p w14:paraId="19DA9A20" w14:textId="6432DAD9" w:rsidR="00A41BF1" w:rsidRPr="004D7967" w:rsidRDefault="007D7D5B" w:rsidP="007613FD">
      <w:pPr>
        <w:pStyle w:val="Heading3"/>
        <w:spacing w:before="0" w:after="0"/>
      </w:pPr>
      <w:r w:rsidRPr="004D7967">
        <w:t>SUBVENCIJE</w:t>
      </w:r>
    </w:p>
    <w:p w14:paraId="72576F86" w14:textId="77777777" w:rsidR="00A41BF1" w:rsidRPr="004D7967" w:rsidRDefault="00A41BF1" w:rsidP="007613FD">
      <w:pPr>
        <w:ind w:firstLine="708"/>
        <w:jc w:val="both"/>
      </w:pPr>
    </w:p>
    <w:p w14:paraId="1F5E66D6" w14:textId="0334D87F" w:rsidR="00A41BF1" w:rsidRPr="004D7967" w:rsidRDefault="007D7D5B" w:rsidP="007613FD">
      <w:pPr>
        <w:ind w:firstLine="708"/>
        <w:jc w:val="both"/>
      </w:pPr>
      <w:r w:rsidRPr="004D7967">
        <w:rPr>
          <w:b/>
        </w:rPr>
        <w:t xml:space="preserve">Subvencije </w:t>
      </w:r>
      <w:r w:rsidRPr="004D7967">
        <w:t>su planirane u 20</w:t>
      </w:r>
      <w:r w:rsidR="00950187" w:rsidRPr="004D7967">
        <w:t>2</w:t>
      </w:r>
      <w:r w:rsidR="004D7967">
        <w:t>4</w:t>
      </w:r>
      <w:r w:rsidRPr="004D7967">
        <w:t xml:space="preserve">. godini u iznosu od </w:t>
      </w:r>
      <w:r w:rsidR="004D7967">
        <w:t>1.264.000</w:t>
      </w:r>
      <w:r w:rsidR="00950187" w:rsidRPr="004D7967">
        <w:t xml:space="preserve"> </w:t>
      </w:r>
      <w:r w:rsidR="00994C7A" w:rsidRPr="004D7967">
        <w:t>eura</w:t>
      </w:r>
      <w:r w:rsidR="006B2BD5" w:rsidRPr="004D7967">
        <w:t xml:space="preserve"> </w:t>
      </w:r>
      <w:r w:rsidRPr="004D7967">
        <w:t xml:space="preserve">te u ukupnim rashodima i izdacima u Proračunu Grada Karlovca sudjeluju s </w:t>
      </w:r>
      <w:r w:rsidR="004D7967">
        <w:t>1,33</w:t>
      </w:r>
      <w:r w:rsidRPr="004D7967">
        <w:t xml:space="preserve">%. </w:t>
      </w:r>
    </w:p>
    <w:p w14:paraId="039BDCAA" w14:textId="5A492C62" w:rsidR="00A41BF1" w:rsidRPr="004D7967" w:rsidRDefault="007D7D5B" w:rsidP="007613FD">
      <w:pPr>
        <w:ind w:firstLine="708"/>
        <w:jc w:val="both"/>
      </w:pPr>
      <w:r w:rsidRPr="004D7967">
        <w:t xml:space="preserve">Subvencije trgovačkim društvima u javnom sektoru planirane su u iznosu od </w:t>
      </w:r>
      <w:r w:rsidR="004D7967">
        <w:t>3</w:t>
      </w:r>
      <w:r w:rsidR="006B2BD5" w:rsidRPr="004D7967">
        <w:t>7.000</w:t>
      </w:r>
      <w:r w:rsidRPr="004D7967">
        <w:t xml:space="preserve"> </w:t>
      </w:r>
      <w:r w:rsidR="00994C7A" w:rsidRPr="004D7967">
        <w:t>eura</w:t>
      </w:r>
      <w:r w:rsidRPr="004D7967">
        <w:t>, a odnose se na sufinanciranje Hrvatskog radio Karlovca.</w:t>
      </w:r>
    </w:p>
    <w:p w14:paraId="0D6D0CB9" w14:textId="4FB8A58B" w:rsidR="00A41BF1" w:rsidRPr="009B62C9" w:rsidRDefault="007D7D5B" w:rsidP="007613FD">
      <w:pPr>
        <w:ind w:firstLine="708"/>
        <w:jc w:val="both"/>
      </w:pPr>
      <w:r w:rsidRPr="004D7967">
        <w:t xml:space="preserve">Subvencije trgovačkim društvima, </w:t>
      </w:r>
      <w:r w:rsidR="004D7967">
        <w:t xml:space="preserve">zadrugama, </w:t>
      </w:r>
      <w:r w:rsidRPr="004D7967">
        <w:t xml:space="preserve">poljoprivrednicima i obrtnicima izvan javnog sektora planirane su u iznosu od </w:t>
      </w:r>
      <w:r w:rsidR="004D7967">
        <w:t>1.227.000</w:t>
      </w:r>
      <w:r w:rsidRPr="004D7967">
        <w:t xml:space="preserve"> </w:t>
      </w:r>
      <w:r w:rsidR="00994C7A" w:rsidRPr="004D7967">
        <w:t>eura</w:t>
      </w:r>
      <w:r w:rsidR="004D7967">
        <w:t>,</w:t>
      </w:r>
      <w:r w:rsidRPr="004D7967">
        <w:t xml:space="preserve"> </w:t>
      </w:r>
      <w:r w:rsidR="00896F5A">
        <w:t xml:space="preserve">a </w:t>
      </w:r>
      <w:r w:rsidRPr="004D7967">
        <w:t>odnose</w:t>
      </w:r>
      <w:r w:rsidR="004D7967">
        <w:t xml:space="preserve"> se</w:t>
      </w:r>
      <w:r w:rsidRPr="004D7967">
        <w:t xml:space="preserve"> na subvencije </w:t>
      </w:r>
      <w:r w:rsidR="00355448">
        <w:t xml:space="preserve">autobusnom prijevozniku </w:t>
      </w:r>
      <w:r w:rsidRPr="004D7967">
        <w:t xml:space="preserve"> </w:t>
      </w:r>
      <w:r w:rsidR="004D7967">
        <w:t xml:space="preserve">za javni gradski prijevoz </w:t>
      </w:r>
      <w:r w:rsidRPr="004D7967">
        <w:t xml:space="preserve">u iznosu od </w:t>
      </w:r>
      <w:r w:rsidR="004D7967">
        <w:t>800.000</w:t>
      </w:r>
      <w:r w:rsidRPr="004D7967">
        <w:t xml:space="preserve"> </w:t>
      </w:r>
      <w:r w:rsidR="00994C7A" w:rsidRPr="004D7967">
        <w:t>eura</w:t>
      </w:r>
      <w:r w:rsidRPr="004D7967">
        <w:t xml:space="preserve">, potpore poljoprivrednim gospodarstvima u iznosu od </w:t>
      </w:r>
      <w:r w:rsidR="004D7967">
        <w:t>145.000</w:t>
      </w:r>
      <w:r w:rsidR="00D47E15" w:rsidRPr="004D7967">
        <w:t xml:space="preserve"> </w:t>
      </w:r>
      <w:r w:rsidR="00994C7A" w:rsidRPr="004D7967">
        <w:t>eura</w:t>
      </w:r>
      <w:r w:rsidRPr="004D7967">
        <w:t xml:space="preserve"> i potpore poduzetnicima u iznosu od </w:t>
      </w:r>
      <w:r w:rsidR="00B61F96" w:rsidRPr="004D7967">
        <w:t>1</w:t>
      </w:r>
      <w:r w:rsidR="004D7967">
        <w:t>40</w:t>
      </w:r>
      <w:r w:rsidR="00B61F96" w:rsidRPr="004D7967">
        <w:t>.000</w:t>
      </w:r>
      <w:r w:rsidR="00D47E15" w:rsidRPr="004D7967">
        <w:t xml:space="preserve"> </w:t>
      </w:r>
      <w:r w:rsidR="00994C7A" w:rsidRPr="004D7967">
        <w:t>eura</w:t>
      </w:r>
      <w:r w:rsidR="00691CD5">
        <w:t>,</w:t>
      </w:r>
      <w:r w:rsidR="00B61F96" w:rsidRPr="004D7967">
        <w:t xml:space="preserve"> dok se na </w:t>
      </w:r>
      <w:r w:rsidR="0070349F" w:rsidRPr="004D7967">
        <w:t xml:space="preserve">sufinanciranje privatnih vrtića i </w:t>
      </w:r>
      <w:r w:rsidR="004D7967">
        <w:t xml:space="preserve">obrta za čuvanje djece </w:t>
      </w:r>
      <w:r w:rsidR="0070349F" w:rsidRPr="004D7967">
        <w:t>odnosi 1</w:t>
      </w:r>
      <w:r w:rsidR="004D7967">
        <w:t>36.000</w:t>
      </w:r>
      <w:r w:rsidR="0070349F" w:rsidRPr="004D7967">
        <w:t xml:space="preserve"> eura.</w:t>
      </w:r>
      <w:r w:rsidR="0070349F">
        <w:t xml:space="preserve"> </w:t>
      </w:r>
      <w:r w:rsidR="00B4321F">
        <w:t>Također, planiran je iznos od 6.000 eura u sk</w:t>
      </w:r>
      <w:r w:rsidR="009B62C9">
        <w:t>l</w:t>
      </w:r>
      <w:r w:rsidR="00B4321F">
        <w:t>opu projekta Shares za subvencije za osnivanje energetske</w:t>
      </w:r>
      <w:r>
        <w:rPr>
          <w:color w:val="FF0000"/>
        </w:rPr>
        <w:t xml:space="preserve"> </w:t>
      </w:r>
      <w:r w:rsidR="009B62C9">
        <w:t>zajednice, odnosno potrošača koji djeluju zajednički, s ciljem izravnog sudjelovanja u projektima obnovljivih izvora energije i energetske učinkovitosti.</w:t>
      </w:r>
    </w:p>
    <w:p w14:paraId="2B8DDA11" w14:textId="77777777" w:rsidR="00A41BF1" w:rsidRDefault="00A41BF1" w:rsidP="00355448">
      <w:pPr>
        <w:jc w:val="both"/>
      </w:pPr>
    </w:p>
    <w:p w14:paraId="7BF3953D" w14:textId="18272DF9" w:rsidR="00A41BF1" w:rsidRDefault="007D7D5B" w:rsidP="007613FD">
      <w:pPr>
        <w:pStyle w:val="Heading3"/>
        <w:spacing w:before="0" w:after="0"/>
      </w:pPr>
      <w:r>
        <w:t>POMOĆI DANE U INOZEMSTVO I UNUTAR OPĆEG PRORAČUNA</w:t>
      </w:r>
    </w:p>
    <w:p w14:paraId="4AB147E9" w14:textId="77777777" w:rsidR="00A41BF1" w:rsidRDefault="00A41BF1" w:rsidP="007613FD">
      <w:pPr>
        <w:ind w:firstLine="708"/>
        <w:jc w:val="both"/>
      </w:pPr>
    </w:p>
    <w:p w14:paraId="4792DB78" w14:textId="28D298FF" w:rsidR="003D3085" w:rsidRPr="006C0DCE" w:rsidRDefault="007D7D5B" w:rsidP="00790897">
      <w:pPr>
        <w:ind w:firstLine="708"/>
        <w:jc w:val="both"/>
      </w:pPr>
      <w:r>
        <w:t>U 20</w:t>
      </w:r>
      <w:r w:rsidR="00D47E15">
        <w:t>2</w:t>
      </w:r>
      <w:r w:rsidR="009B62C9">
        <w:t>4</w:t>
      </w:r>
      <w:r>
        <w:t xml:space="preserve">. godini </w:t>
      </w:r>
      <w:r w:rsidR="009B62C9">
        <w:t xml:space="preserve">pomoći dane u inozemstvo i unutra općeg proračuna </w:t>
      </w:r>
      <w:r>
        <w:t xml:space="preserve">planirane su u iznosu od </w:t>
      </w:r>
      <w:r w:rsidR="009B62C9">
        <w:t>756.894</w:t>
      </w:r>
      <w:r>
        <w:t xml:space="preserve"> </w:t>
      </w:r>
      <w:r w:rsidR="00994C7A" w:rsidRPr="006D4F9F">
        <w:t>eura</w:t>
      </w:r>
      <w:r w:rsidRPr="006D4F9F">
        <w:t xml:space="preserve"> što je za </w:t>
      </w:r>
      <w:r w:rsidR="009B62C9">
        <w:t>55.791</w:t>
      </w:r>
      <w:r w:rsidRPr="006D4F9F">
        <w:t xml:space="preserve"> </w:t>
      </w:r>
      <w:r w:rsidR="00994C7A" w:rsidRPr="006D4F9F">
        <w:t>eura</w:t>
      </w:r>
      <w:r w:rsidRPr="006D4F9F">
        <w:t xml:space="preserve"> ili za </w:t>
      </w:r>
      <w:r w:rsidR="009B62C9">
        <w:t>7,96</w:t>
      </w:r>
      <w:r w:rsidRPr="006D4F9F">
        <w:t xml:space="preserve">% </w:t>
      </w:r>
      <w:r w:rsidR="00203052" w:rsidRPr="006D4F9F">
        <w:t>više</w:t>
      </w:r>
      <w:r w:rsidRPr="006D4F9F">
        <w:t xml:space="preserve"> u odnosu na </w:t>
      </w:r>
      <w:r w:rsidR="009B62C9">
        <w:t>D</w:t>
      </w:r>
      <w:r w:rsidR="006D4F9F">
        <w:t xml:space="preserve">ruge </w:t>
      </w:r>
      <w:r w:rsidR="009B62C9">
        <w:t>i</w:t>
      </w:r>
      <w:r w:rsidR="006D4F9F">
        <w:t xml:space="preserve">zmjene i dopune </w:t>
      </w:r>
      <w:r w:rsidR="00DD43FB">
        <w:t xml:space="preserve">plana za </w:t>
      </w:r>
      <w:r w:rsidRPr="006D4F9F">
        <w:t>20</w:t>
      </w:r>
      <w:r w:rsidR="00490A6D" w:rsidRPr="006D4F9F">
        <w:t>2</w:t>
      </w:r>
      <w:r w:rsidR="009B62C9">
        <w:t>3</w:t>
      </w:r>
      <w:r w:rsidRPr="006D4F9F">
        <w:t xml:space="preserve">. godinu, a odnose se na </w:t>
      </w:r>
      <w:r w:rsidRPr="006D4F9F">
        <w:rPr>
          <w:b/>
        </w:rPr>
        <w:t>Pomoći unutar općeg proračuna</w:t>
      </w:r>
      <w:r w:rsidRPr="006D4F9F">
        <w:t xml:space="preserve"> koje su planirane u iznosu od </w:t>
      </w:r>
      <w:r w:rsidR="003D3085">
        <w:t>753.794</w:t>
      </w:r>
      <w:r w:rsidR="00D47E15" w:rsidRPr="006D4F9F">
        <w:t xml:space="preserve"> </w:t>
      </w:r>
      <w:r w:rsidR="00994C7A" w:rsidRPr="006D4F9F">
        <w:t>eura</w:t>
      </w:r>
      <w:r w:rsidRPr="006D4F9F">
        <w:t xml:space="preserve"> i na </w:t>
      </w:r>
      <w:r w:rsidRPr="006D4F9F">
        <w:rPr>
          <w:b/>
        </w:rPr>
        <w:t>Pomoći proračunskim korisnicima drugih</w:t>
      </w:r>
      <w:r w:rsidRPr="001443B8">
        <w:rPr>
          <w:b/>
        </w:rPr>
        <w:t xml:space="preserve"> </w:t>
      </w:r>
      <w:r w:rsidRPr="001443B8">
        <w:rPr>
          <w:b/>
        </w:rPr>
        <w:lastRenderedPageBreak/>
        <w:t>proračuna</w:t>
      </w:r>
      <w:r w:rsidRPr="001443B8">
        <w:t xml:space="preserve"> u iznosu od </w:t>
      </w:r>
      <w:r w:rsidR="003D3085">
        <w:t>3.100</w:t>
      </w:r>
      <w:r w:rsidRPr="001443B8">
        <w:t xml:space="preserve"> </w:t>
      </w:r>
      <w:r w:rsidR="00994C7A">
        <w:t>eura</w:t>
      </w:r>
      <w:r w:rsidRPr="001443B8">
        <w:t xml:space="preserve">. Planirane pomoći odnose se na </w:t>
      </w:r>
      <w:r w:rsidR="003D3085">
        <w:t xml:space="preserve">kapitalne </w:t>
      </w:r>
      <w:r w:rsidRPr="001443B8">
        <w:t xml:space="preserve">pomoći općini </w:t>
      </w:r>
      <w:r w:rsidRPr="006C0DCE">
        <w:t xml:space="preserve">Draganić i Krnjak u iznosu od </w:t>
      </w:r>
      <w:r w:rsidR="00DF6034" w:rsidRPr="006C0DCE">
        <w:t>1</w:t>
      </w:r>
      <w:r w:rsidR="003D3085" w:rsidRPr="006C0DCE">
        <w:t>0</w:t>
      </w:r>
      <w:r w:rsidR="00DF6034" w:rsidRPr="006C0DCE">
        <w:t>.</w:t>
      </w:r>
      <w:r w:rsidR="003D3085" w:rsidRPr="006C0DCE">
        <w:t>0</w:t>
      </w:r>
      <w:r w:rsidR="00DF6034" w:rsidRPr="006C0DCE">
        <w:t>00</w:t>
      </w:r>
      <w:r w:rsidRPr="006C0DCE">
        <w:t xml:space="preserve"> </w:t>
      </w:r>
      <w:r w:rsidR="00994C7A" w:rsidRPr="006C0DCE">
        <w:t>eura</w:t>
      </w:r>
      <w:r w:rsidRPr="006C0DCE">
        <w:t xml:space="preserve"> prema odluci o sukcesiji, zatim na kapitalne pomoći Centr</w:t>
      </w:r>
      <w:r w:rsidR="00177B20" w:rsidRPr="006C0DCE">
        <w:t>u</w:t>
      </w:r>
      <w:r w:rsidRPr="006C0DCE">
        <w:t xml:space="preserve"> za gospodarenje otpadom Karlovačke županije </w:t>
      </w:r>
      <w:r w:rsidR="00FD33E9" w:rsidRPr="006C0DCE">
        <w:t xml:space="preserve">koje su </w:t>
      </w:r>
      <w:r w:rsidRPr="006C0DCE">
        <w:t>planiran</w:t>
      </w:r>
      <w:r w:rsidR="00FD33E9" w:rsidRPr="006C0DCE">
        <w:t>e u iznosu od</w:t>
      </w:r>
      <w:r w:rsidRPr="006C0DCE">
        <w:t xml:space="preserve"> </w:t>
      </w:r>
      <w:r w:rsidR="003D3085" w:rsidRPr="006C0DCE">
        <w:t>643.794</w:t>
      </w:r>
      <w:r w:rsidRPr="006C0DCE">
        <w:t xml:space="preserve"> </w:t>
      </w:r>
      <w:r w:rsidR="00994C7A" w:rsidRPr="006C0DCE">
        <w:t>eura</w:t>
      </w:r>
      <w:r w:rsidR="00B31E76" w:rsidRPr="006C0DCE">
        <w:t xml:space="preserve">, a </w:t>
      </w:r>
      <w:r w:rsidR="003D3085" w:rsidRPr="006C0DCE">
        <w:t xml:space="preserve">tekuće pomoći za redovno poslovanje tvrtke Geotermika d.o.o planirane su u iznosu od </w:t>
      </w:r>
      <w:r w:rsidR="00D928D0" w:rsidRPr="006C0DCE">
        <w:t>100.000</w:t>
      </w:r>
      <w:r w:rsidRPr="006C0DCE">
        <w:t xml:space="preserve"> </w:t>
      </w:r>
      <w:r w:rsidR="00994C7A" w:rsidRPr="006C0DCE">
        <w:t>eura</w:t>
      </w:r>
      <w:r w:rsidR="003D3085" w:rsidRPr="006C0DCE">
        <w:t>.</w:t>
      </w:r>
    </w:p>
    <w:p w14:paraId="1292DFE2" w14:textId="11E6A581" w:rsidR="003D3085" w:rsidRPr="006C0DCE" w:rsidRDefault="002A35CF" w:rsidP="003D3085">
      <w:pPr>
        <w:ind w:firstLine="708"/>
        <w:jc w:val="both"/>
      </w:pPr>
      <w:r w:rsidRPr="006C0DCE">
        <w:t xml:space="preserve"> </w:t>
      </w:r>
      <w:r w:rsidR="003D3085" w:rsidRPr="006C0DCE">
        <w:t>Pomoći proračunskim korisnicima drugih proračuna odnose se na pomoći Gimnaziji Karlovac za Booktrailer film festival u iznosu 550 eura, pomoći Turističko-ugostiteljskoj školi za Junior barmen cup u iznosu od 550 eura</w:t>
      </w:r>
      <w:r w:rsidR="008067A2">
        <w:t>,</w:t>
      </w:r>
      <w:r w:rsidR="003D3085" w:rsidRPr="006C0DCE">
        <w:t xml:space="preserve"> te pomoći Poliklinici SUVAG u iznosu 2.000 eura.</w:t>
      </w:r>
    </w:p>
    <w:p w14:paraId="3092D9AB" w14:textId="72BCD132" w:rsidR="00EA6097" w:rsidRPr="006C0DCE" w:rsidRDefault="00EA6097" w:rsidP="00790897">
      <w:pPr>
        <w:ind w:firstLine="708"/>
        <w:jc w:val="both"/>
      </w:pPr>
      <w:r w:rsidRPr="006C0DCE">
        <w:t>U ukupnim rashodima i izdacima</w:t>
      </w:r>
      <w:r w:rsidR="003D3085" w:rsidRPr="006C0DCE">
        <w:t xml:space="preserve"> pomoći dane u inozemstvo i unutra općeg proračuna</w:t>
      </w:r>
      <w:r w:rsidRPr="006C0DCE">
        <w:t xml:space="preserve"> sudjeluju s 0,</w:t>
      </w:r>
      <w:r w:rsidR="006C0DCE" w:rsidRPr="006C0DCE">
        <w:t>79</w:t>
      </w:r>
      <w:r w:rsidRPr="006C0DCE">
        <w:t xml:space="preserve">%.  </w:t>
      </w:r>
    </w:p>
    <w:p w14:paraId="515B58CC" w14:textId="77777777" w:rsidR="009B62C9" w:rsidRDefault="009B62C9" w:rsidP="00790897">
      <w:pPr>
        <w:ind w:firstLine="708"/>
        <w:jc w:val="both"/>
      </w:pPr>
    </w:p>
    <w:p w14:paraId="18D5324B" w14:textId="2A888339" w:rsidR="00A41BF1" w:rsidRPr="006C0DCE" w:rsidRDefault="007D7D5B" w:rsidP="006C0DCE">
      <w:pPr>
        <w:pStyle w:val="Heading3"/>
        <w:spacing w:before="0" w:after="0"/>
      </w:pPr>
      <w:r>
        <w:t>NA</w:t>
      </w:r>
      <w:r w:rsidR="007C3A2C">
        <w:t>KNADE GRAĐANIMA I KUĆANSTVIMA NA</w:t>
      </w:r>
      <w:r>
        <w:t xml:space="preserve"> TEMELJU OSIGURANJA </w:t>
      </w:r>
      <w:r w:rsidRPr="006C0DCE">
        <w:t xml:space="preserve"> I DRUGE NAKNADE</w:t>
      </w:r>
    </w:p>
    <w:p w14:paraId="45F7267C" w14:textId="77777777" w:rsidR="00A41BF1" w:rsidRDefault="00A41BF1" w:rsidP="007613FD">
      <w:pPr>
        <w:jc w:val="both"/>
        <w:rPr>
          <w:sz w:val="26"/>
          <w:szCs w:val="26"/>
        </w:rPr>
      </w:pPr>
    </w:p>
    <w:p w14:paraId="358C4893" w14:textId="3997D75E" w:rsidR="00A41BF1" w:rsidRDefault="007D7D5B" w:rsidP="007613FD">
      <w:pPr>
        <w:ind w:right="78" w:firstLine="708"/>
        <w:jc w:val="both"/>
      </w:pPr>
      <w:r>
        <w:t xml:space="preserve">Navedene naknade planirane su u iznosu od </w:t>
      </w:r>
      <w:r w:rsidR="006C0DCE">
        <w:t>1.332.491</w:t>
      </w:r>
      <w:r w:rsidR="00F7755B">
        <w:t xml:space="preserve"> </w:t>
      </w:r>
      <w:r w:rsidR="00994C7A">
        <w:t>eura</w:t>
      </w:r>
      <w:r>
        <w:t xml:space="preserve">, što je za </w:t>
      </w:r>
      <w:r w:rsidR="006C0DCE">
        <w:t>180.175</w:t>
      </w:r>
      <w:r w:rsidR="00B10118" w:rsidRPr="00DD43FB">
        <w:t xml:space="preserve"> </w:t>
      </w:r>
      <w:r w:rsidR="00994C7A" w:rsidRPr="00DD43FB">
        <w:t>eura</w:t>
      </w:r>
      <w:r w:rsidRPr="00DD43FB">
        <w:t xml:space="preserve"> </w:t>
      </w:r>
      <w:r w:rsidR="004A705F" w:rsidRPr="00DD43FB">
        <w:t>manje</w:t>
      </w:r>
      <w:r w:rsidRPr="00DD43FB">
        <w:t xml:space="preserve"> u odnosu na planirani iznos u Proračunu Grada Karlovca za 20</w:t>
      </w:r>
      <w:r w:rsidR="00B10118" w:rsidRPr="00DD43FB">
        <w:t>2</w:t>
      </w:r>
      <w:r w:rsidR="006C0DCE">
        <w:t>3</w:t>
      </w:r>
      <w:r w:rsidRPr="00DD43FB">
        <w:t>.</w:t>
      </w:r>
      <w:r w:rsidR="00A45BF4" w:rsidRPr="00DD43FB">
        <w:t xml:space="preserve"> </w:t>
      </w:r>
      <w:r w:rsidRPr="00DD43FB">
        <w:t>godinu</w:t>
      </w:r>
      <w:r w:rsidR="00DD43FB">
        <w:t xml:space="preserve"> (</w:t>
      </w:r>
      <w:r w:rsidR="004D7762">
        <w:t>D</w:t>
      </w:r>
      <w:r w:rsidR="00DD43FB">
        <w:t xml:space="preserve">ruge </w:t>
      </w:r>
      <w:r w:rsidR="006C0DCE">
        <w:t>i</w:t>
      </w:r>
      <w:r w:rsidR="00DD43FB">
        <w:t xml:space="preserve">zmjene i dopune </w:t>
      </w:r>
      <w:r w:rsidR="00DC497B">
        <w:t>p</w:t>
      </w:r>
      <w:r w:rsidR="00DD43FB">
        <w:t xml:space="preserve">roračuna). </w:t>
      </w:r>
      <w:r>
        <w:t xml:space="preserve">U ukupnim rashodima i izdacima u Proračunu Grada Karlovca sudjeluju s </w:t>
      </w:r>
      <w:r w:rsidR="00A45BF4">
        <w:t>1,</w:t>
      </w:r>
      <w:r w:rsidR="006C0DCE">
        <w:t>4</w:t>
      </w:r>
      <w:r>
        <w:t>%.</w:t>
      </w:r>
    </w:p>
    <w:p w14:paraId="61C90DF6" w14:textId="73AFDE77" w:rsidR="00A41BF1" w:rsidRDefault="007D7D5B" w:rsidP="007613FD">
      <w:pPr>
        <w:ind w:firstLine="708"/>
        <w:jc w:val="both"/>
      </w:pPr>
      <w:r>
        <w:t>Planirani rashodi odnose se na namjene predviđene socijalnim programom Grada</w:t>
      </w:r>
      <w:r w:rsidR="00A45BF4">
        <w:t xml:space="preserve"> za koji je planirano </w:t>
      </w:r>
      <w:r w:rsidR="00E676CA">
        <w:t>0,</w:t>
      </w:r>
      <w:r w:rsidR="00EF1919">
        <w:t>7</w:t>
      </w:r>
      <w:r w:rsidR="0096005F">
        <w:t xml:space="preserve"> mil.</w:t>
      </w:r>
      <w:r w:rsidR="00A45BF4">
        <w:t xml:space="preserve"> </w:t>
      </w:r>
      <w:r w:rsidR="00994C7A">
        <w:t>eura</w:t>
      </w:r>
      <w:r>
        <w:t>,</w:t>
      </w:r>
      <w:r w:rsidR="00EF1919">
        <w:t xml:space="preserve"> a odnose se na </w:t>
      </w:r>
      <w:r>
        <w:t xml:space="preserve">naknade za podmirenje troškova stanovanja i ogrjeva te toplog obroka građanima u socijalnoj potrebi. Nadalje, kroz ove se naknade sufinanciraju potrebe obitelji i djece i to za prehranu dojenčadi, naknade umirovljenicima, za sufinanciranje produženog boravka u školama te poklon paketi za novorođenčad i za siromašne obitelji kao </w:t>
      </w:r>
      <w:r w:rsidR="004F74E8">
        <w:t xml:space="preserve">i </w:t>
      </w:r>
      <w:r w:rsidR="00EA45CA">
        <w:t>nabava</w:t>
      </w:r>
      <w:r w:rsidR="0066767F">
        <w:t xml:space="preserve"> udžbenika i </w:t>
      </w:r>
      <w:r w:rsidR="00EA45CA">
        <w:t xml:space="preserve"> obrazovnih materijala za osnovnoškolce</w:t>
      </w:r>
      <w:r w:rsidR="0018019D">
        <w:t xml:space="preserve"> i za stipendije učenicima i studentima</w:t>
      </w:r>
      <w:r w:rsidR="00DA7DD7">
        <w:t>.</w:t>
      </w:r>
      <w:r w:rsidR="00EA45CA">
        <w:t xml:space="preserve"> </w:t>
      </w:r>
    </w:p>
    <w:p w14:paraId="5E2AA45B" w14:textId="77777777" w:rsidR="003767C7" w:rsidRDefault="003767C7" w:rsidP="007613FD">
      <w:pPr>
        <w:jc w:val="both"/>
        <w:rPr>
          <w:b/>
          <w:sz w:val="22"/>
          <w:szCs w:val="22"/>
        </w:rPr>
      </w:pPr>
    </w:p>
    <w:p w14:paraId="4715A3AA" w14:textId="7FB2CBA6" w:rsidR="00A41BF1" w:rsidRDefault="007D7D5B" w:rsidP="007613FD">
      <w:pPr>
        <w:pStyle w:val="Heading3"/>
        <w:spacing w:before="0" w:after="0"/>
      </w:pPr>
      <w:r>
        <w:t>OSTALI RASHODI</w:t>
      </w:r>
    </w:p>
    <w:p w14:paraId="24349696" w14:textId="77777777" w:rsidR="00A41BF1" w:rsidRDefault="00A41BF1" w:rsidP="007613FD">
      <w:pPr>
        <w:ind w:firstLine="708"/>
        <w:jc w:val="both"/>
      </w:pPr>
    </w:p>
    <w:p w14:paraId="1081CC91" w14:textId="25D808CE" w:rsidR="00A41BF1" w:rsidRDefault="007D7D5B" w:rsidP="00EF1919">
      <w:pPr>
        <w:ind w:firstLine="708"/>
        <w:jc w:val="both"/>
      </w:pPr>
      <w:r>
        <w:rPr>
          <w:b/>
        </w:rPr>
        <w:t>Ostali rashodi</w:t>
      </w:r>
      <w:r>
        <w:t xml:space="preserve"> predlažu se u planiranom iznosu od </w:t>
      </w:r>
      <w:r w:rsidR="00EF1919">
        <w:t>3.340.919</w:t>
      </w:r>
      <w:r w:rsidR="00A45BF4">
        <w:t xml:space="preserve"> </w:t>
      </w:r>
      <w:r w:rsidR="00994C7A">
        <w:t>eura</w:t>
      </w:r>
      <w:r>
        <w:t xml:space="preserve">, a u ukupnim rashodima i izdacima u Proračuna Grada Karlovca sudjeluju s </w:t>
      </w:r>
      <w:r w:rsidR="00210B87">
        <w:t>3</w:t>
      </w:r>
      <w:r w:rsidR="00C36B37">
        <w:t>,</w:t>
      </w:r>
      <w:r w:rsidR="00EF1919">
        <w:t>51</w:t>
      </w:r>
      <w:r w:rsidR="00210B87" w:rsidRPr="00DD43FB">
        <w:t xml:space="preserve">%. </w:t>
      </w:r>
      <w:r w:rsidRPr="00DD43FB">
        <w:t xml:space="preserve">Ova skupina rashoda </w:t>
      </w:r>
      <w:r w:rsidR="00EF1919">
        <w:t>manja</w:t>
      </w:r>
      <w:r w:rsidR="00572AC7" w:rsidRPr="00DD43FB">
        <w:t xml:space="preserve"> je za </w:t>
      </w:r>
      <w:r w:rsidR="00EF1919" w:rsidRPr="00EF1919">
        <w:t xml:space="preserve">309.106 </w:t>
      </w:r>
      <w:r w:rsidR="00994C7A" w:rsidRPr="00DD43FB">
        <w:t>eura</w:t>
      </w:r>
      <w:r w:rsidRPr="00DD43FB">
        <w:t xml:space="preserve"> u odnosu na planirano </w:t>
      </w:r>
      <w:r w:rsidR="00EF1919">
        <w:t>D</w:t>
      </w:r>
      <w:r w:rsidR="00615DAE" w:rsidRPr="008315BE">
        <w:t>rugim</w:t>
      </w:r>
      <w:r w:rsidR="00FE2AA3" w:rsidRPr="008315BE">
        <w:rPr>
          <w:color w:val="FF0000"/>
        </w:rPr>
        <w:t xml:space="preserve"> </w:t>
      </w:r>
      <w:r w:rsidR="00EF1919">
        <w:t>i</w:t>
      </w:r>
      <w:r w:rsidRPr="008315BE">
        <w:t>zmjenama</w:t>
      </w:r>
      <w:r w:rsidRPr="00DD43FB">
        <w:t xml:space="preserve"> i dopunama proračuna za 20</w:t>
      </w:r>
      <w:r w:rsidR="008A2251" w:rsidRPr="00DD43FB">
        <w:t>2</w:t>
      </w:r>
      <w:r w:rsidR="00EF1919">
        <w:t>3</w:t>
      </w:r>
      <w:r w:rsidRPr="00DD43FB">
        <w:t>. godinu.</w:t>
      </w:r>
      <w:r>
        <w:t xml:space="preserve"> </w:t>
      </w:r>
    </w:p>
    <w:p w14:paraId="7773CEE2" w14:textId="149BD0AF" w:rsidR="005D1889" w:rsidRDefault="007D7D5B" w:rsidP="005D188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</w:t>
      </w:r>
      <w:r w:rsidR="00EF1919">
        <w:rPr>
          <w:color w:val="000000"/>
        </w:rPr>
        <w:t>N</w:t>
      </w:r>
      <w:r>
        <w:rPr>
          <w:color w:val="000000"/>
        </w:rPr>
        <w:t>ajveći dio</w:t>
      </w:r>
      <w:r w:rsidR="00EF1919">
        <w:rPr>
          <w:color w:val="000000"/>
        </w:rPr>
        <w:t xml:space="preserve"> ove kategorije rashoda</w:t>
      </w:r>
      <w:r>
        <w:rPr>
          <w:color w:val="000000"/>
        </w:rPr>
        <w:t xml:space="preserve"> odnosi se na rashode za tekuće donacije i to u iznosu od </w:t>
      </w:r>
      <w:r w:rsidR="00B767C8">
        <w:rPr>
          <w:color w:val="000000"/>
        </w:rPr>
        <w:t>2</w:t>
      </w:r>
      <w:r w:rsidR="00351314">
        <w:rPr>
          <w:color w:val="000000"/>
        </w:rPr>
        <w:t>.</w:t>
      </w:r>
      <w:r w:rsidR="00EF1919">
        <w:rPr>
          <w:color w:val="000000"/>
        </w:rPr>
        <w:t>907.274</w:t>
      </w:r>
      <w:r w:rsidR="00433D3B"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. Rashodi za tekuće donacije odnose se najvećim dijelom na planirana sredstva za financiranje </w:t>
      </w:r>
      <w:r w:rsidR="005D0E1E">
        <w:rPr>
          <w:color w:val="000000"/>
        </w:rPr>
        <w:t xml:space="preserve">redovne djelatnosti Karlovačke športske zajednice </w:t>
      </w:r>
      <w:r>
        <w:rPr>
          <w:color w:val="000000"/>
        </w:rPr>
        <w:t xml:space="preserve">za što je planirano </w:t>
      </w:r>
      <w:r w:rsidR="00C11FBE">
        <w:rPr>
          <w:color w:val="000000"/>
        </w:rPr>
        <w:t>1.</w:t>
      </w:r>
      <w:r w:rsidR="00EF1919">
        <w:rPr>
          <w:color w:val="000000"/>
        </w:rPr>
        <w:t>637.513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, </w:t>
      </w:r>
      <w:r w:rsidR="005D0E1E">
        <w:rPr>
          <w:color w:val="000000"/>
        </w:rPr>
        <w:t xml:space="preserve">za financiranje javnih potreba u kulturi </w:t>
      </w:r>
      <w:r w:rsidR="00EF1919">
        <w:rPr>
          <w:color w:val="000000"/>
        </w:rPr>
        <w:t>224.295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, financiranje javnih potreba udruga u iznosu od </w:t>
      </w:r>
      <w:r w:rsidR="00EF1919">
        <w:rPr>
          <w:color w:val="000000"/>
        </w:rPr>
        <w:t>108.169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>,</w:t>
      </w:r>
      <w:r w:rsidR="00082995">
        <w:rPr>
          <w:color w:val="000000"/>
        </w:rPr>
        <w:t xml:space="preserve"> financiranje javnih potreba u tehničkoj kulturi u iznosu od </w:t>
      </w:r>
      <w:r w:rsidR="005D1889">
        <w:rPr>
          <w:color w:val="000000"/>
        </w:rPr>
        <w:t>91.000</w:t>
      </w:r>
      <w:r w:rsidR="00082995">
        <w:rPr>
          <w:color w:val="000000"/>
        </w:rPr>
        <w:t xml:space="preserve"> </w:t>
      </w:r>
      <w:r w:rsidR="00994C7A">
        <w:rPr>
          <w:color w:val="000000"/>
        </w:rPr>
        <w:t>eura</w:t>
      </w:r>
      <w:r w:rsidR="00082995">
        <w:rPr>
          <w:color w:val="000000"/>
        </w:rPr>
        <w:t>,</w:t>
      </w:r>
      <w:r>
        <w:rPr>
          <w:color w:val="000000"/>
        </w:rPr>
        <w:t xml:space="preserve"> tekuće donacije za turizam u iznosu od </w:t>
      </w:r>
      <w:r w:rsidR="005D1889">
        <w:rPr>
          <w:color w:val="000000"/>
        </w:rPr>
        <w:t>139.328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, redovne djelatnosti Vatrogasne zajednice za što je planirano </w:t>
      </w:r>
      <w:r w:rsidR="005D1889">
        <w:rPr>
          <w:color w:val="000000"/>
        </w:rPr>
        <w:t>220.000</w:t>
      </w:r>
      <w:r w:rsidR="00A701ED">
        <w:rPr>
          <w:color w:val="000000"/>
        </w:rPr>
        <w:t xml:space="preserve"> eura</w:t>
      </w:r>
      <w:r>
        <w:rPr>
          <w:color w:val="000000"/>
        </w:rPr>
        <w:t>,</w:t>
      </w:r>
      <w:r w:rsidR="005D1889">
        <w:rPr>
          <w:color w:val="000000"/>
        </w:rPr>
        <w:t xml:space="preserve"> financiranje dobrovoljnog vatrogastva u iznosu od 110.000 eura, </w:t>
      </w:r>
      <w:r>
        <w:rPr>
          <w:color w:val="000000"/>
        </w:rPr>
        <w:t xml:space="preserve">financiranje rada političkih stranaka i nacionalnih manjina u iznosu od </w:t>
      </w:r>
      <w:r w:rsidR="00FF72C9">
        <w:rPr>
          <w:color w:val="000000"/>
        </w:rPr>
        <w:t>59.000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, </w:t>
      </w:r>
      <w:r w:rsidR="005D1889">
        <w:rPr>
          <w:color w:val="000000"/>
        </w:rPr>
        <w:t xml:space="preserve">tekuće donacije za zaštitu okoliša i gospodarenje otpadom u iznosu od 60.829 eura, dok je za financiranje programa za djecu i mlade planiran iznos od 45.304 eura. Kod osnovnih škola planirana su sredstva za </w:t>
      </w:r>
      <w:r w:rsidR="005D1889" w:rsidRPr="00CF3354">
        <w:rPr>
          <w:color w:val="000000"/>
        </w:rPr>
        <w:t>a</w:t>
      </w:r>
      <w:r w:rsidR="005D1889" w:rsidRPr="00CF3354">
        <w:rPr>
          <w:color w:val="000000" w:themeColor="text1"/>
          <w:lang w:val="pl-PL"/>
        </w:rPr>
        <w:t>ktivnost Opskrbljivanje školskih ustanova menstrualnim higijenskim potrepštinama koj</w:t>
      </w:r>
      <w:r w:rsidR="00227F3E" w:rsidRPr="00CF3354">
        <w:rPr>
          <w:color w:val="000000" w:themeColor="text1"/>
          <w:lang w:val="pl-PL"/>
        </w:rPr>
        <w:t>a</w:t>
      </w:r>
      <w:r w:rsidR="005D1889" w:rsidRPr="00CF3354">
        <w:rPr>
          <w:color w:val="000000" w:themeColor="text1"/>
          <w:lang w:val="pl-PL"/>
        </w:rPr>
        <w:t xml:space="preserve"> se počel</w:t>
      </w:r>
      <w:r w:rsidR="00227F3E" w:rsidRPr="00CF3354">
        <w:rPr>
          <w:color w:val="000000" w:themeColor="text1"/>
          <w:lang w:val="pl-PL"/>
        </w:rPr>
        <w:t>a</w:t>
      </w:r>
      <w:r w:rsidR="005D1889" w:rsidRPr="00CF3354">
        <w:rPr>
          <w:color w:val="000000" w:themeColor="text1"/>
          <w:lang w:val="pl-PL"/>
        </w:rPr>
        <w:t xml:space="preserve"> provoditi u 2023. godini, a kojom se osiguravaju sredstva u iznosu od 7.992</w:t>
      </w:r>
      <w:r w:rsidR="005D1889">
        <w:rPr>
          <w:bCs/>
          <w:color w:val="000000" w:themeColor="text1"/>
          <w:lang w:val="pl-PL"/>
        </w:rPr>
        <w:t xml:space="preserve"> eura </w:t>
      </w:r>
      <w:r w:rsidR="005D1889">
        <w:rPr>
          <w:rFonts w:eastAsia="Calibri"/>
          <w:color w:val="000000"/>
          <w:lang w:eastAsia="en-US"/>
        </w:rPr>
        <w:t>radi opskrbe školskih ustanova besplatnim zalihama menstrualnih higijenskih potrepština</w:t>
      </w:r>
      <w:r w:rsidR="006F6B73">
        <w:rPr>
          <w:rFonts w:eastAsia="Calibri"/>
          <w:color w:val="000000"/>
          <w:lang w:eastAsia="en-US"/>
        </w:rPr>
        <w:t xml:space="preserve"> u svrhu </w:t>
      </w:r>
      <w:r w:rsidR="005D1889">
        <w:rPr>
          <w:rFonts w:eastAsia="Calibri"/>
          <w:color w:val="000000"/>
          <w:lang w:eastAsia="en-US"/>
        </w:rPr>
        <w:t>dostupnost</w:t>
      </w:r>
      <w:r w:rsidR="006F6B73">
        <w:rPr>
          <w:rFonts w:eastAsia="Calibri"/>
          <w:color w:val="000000"/>
          <w:lang w:eastAsia="en-US"/>
        </w:rPr>
        <w:t xml:space="preserve">i </w:t>
      </w:r>
      <w:r w:rsidR="005D1889">
        <w:rPr>
          <w:rFonts w:eastAsia="Calibri"/>
          <w:color w:val="000000"/>
          <w:lang w:eastAsia="en-US"/>
        </w:rPr>
        <w:t xml:space="preserve"> menstrualnih higijenskih potrepština učenicama </w:t>
      </w:r>
      <w:r w:rsidR="005D1889" w:rsidRPr="005D7AC9">
        <w:rPr>
          <w:rFonts w:eastAsia="Calibri"/>
          <w:color w:val="000000"/>
          <w:lang w:eastAsia="en-US"/>
        </w:rPr>
        <w:t>osnovnih škola na jednostavan i učinkovit način.</w:t>
      </w:r>
    </w:p>
    <w:p w14:paraId="3A3CF956" w14:textId="3376EC2E" w:rsidR="005D1889" w:rsidRPr="00E336F7" w:rsidRDefault="007D7D5B" w:rsidP="005D1889">
      <w:pPr>
        <w:ind w:firstLine="708"/>
        <w:jc w:val="both"/>
      </w:pPr>
      <w:r>
        <w:t xml:space="preserve">Kapitalne donacije planirane su u iznosu od </w:t>
      </w:r>
      <w:r w:rsidR="005D1889">
        <w:t>228.654</w:t>
      </w:r>
      <w:r>
        <w:t xml:space="preserve"> </w:t>
      </w:r>
      <w:r w:rsidR="00994C7A">
        <w:t>eura</w:t>
      </w:r>
      <w:r>
        <w:t xml:space="preserve">, a najveći dio </w:t>
      </w:r>
      <w:r w:rsidR="00E336F7">
        <w:t xml:space="preserve">odnosi se na </w:t>
      </w:r>
      <w:r w:rsidR="00E336F7" w:rsidRPr="00E336F7">
        <w:t xml:space="preserve">kapitalne donacije dobrovoljnim vatrogasnim društvima za opremu u iznosu </w:t>
      </w:r>
      <w:r w:rsidR="00E336F7">
        <w:t>130</w:t>
      </w:r>
      <w:r w:rsidR="00E336F7" w:rsidRPr="00E336F7">
        <w:t>.000 eura</w:t>
      </w:r>
      <w:r w:rsidR="00ED72D4">
        <w:t xml:space="preserve">, zatim </w:t>
      </w:r>
      <w:r w:rsidR="003A0833">
        <w:t>n</w:t>
      </w:r>
      <w:r w:rsidR="00ED72D4" w:rsidRPr="00E336F7">
        <w:t xml:space="preserve">a </w:t>
      </w:r>
      <w:r w:rsidR="00E336F7" w:rsidRPr="00E336F7">
        <w:t xml:space="preserve">donacije građanima za </w:t>
      </w:r>
      <w:r w:rsidR="00ED72D4" w:rsidRPr="00E336F7">
        <w:t xml:space="preserve">obnovu i očuvanje kulturne baštine u iznosu od </w:t>
      </w:r>
      <w:r w:rsidR="00E336F7" w:rsidRPr="00E336F7">
        <w:t>96</w:t>
      </w:r>
      <w:r w:rsidR="00ED72D4" w:rsidRPr="00E336F7">
        <w:t>.000 eura</w:t>
      </w:r>
      <w:r w:rsidR="00202F02" w:rsidRPr="00E336F7">
        <w:t xml:space="preserve"> dok su </w:t>
      </w:r>
      <w:r w:rsidRPr="00E336F7">
        <w:t xml:space="preserve">kapitalne donacije za </w:t>
      </w:r>
      <w:r w:rsidR="00E336F7" w:rsidRPr="00E336F7">
        <w:t>mat</w:t>
      </w:r>
      <w:r w:rsidR="00CF3354">
        <w:t>e</w:t>
      </w:r>
      <w:r w:rsidR="00E336F7" w:rsidRPr="00E336F7">
        <w:t>rij</w:t>
      </w:r>
      <w:r w:rsidR="00CF3354">
        <w:t>a</w:t>
      </w:r>
      <w:r w:rsidR="00E336F7" w:rsidRPr="00E336F7">
        <w:t>lne i financijske rashode po</w:t>
      </w:r>
      <w:r w:rsidR="00CF3354">
        <w:t>s</w:t>
      </w:r>
      <w:r w:rsidR="00E336F7" w:rsidRPr="00E336F7">
        <w:t>lovanja Javne vatrogasne postrojbe</w:t>
      </w:r>
      <w:r w:rsidRPr="00E336F7">
        <w:t xml:space="preserve"> planirane u iznosu od </w:t>
      </w:r>
      <w:r w:rsidR="00E336F7" w:rsidRPr="00E336F7">
        <w:t>2.654</w:t>
      </w:r>
      <w:r w:rsidRPr="00E336F7">
        <w:t xml:space="preserve"> </w:t>
      </w:r>
      <w:r w:rsidR="00994C7A" w:rsidRPr="00E336F7">
        <w:t>eura</w:t>
      </w:r>
      <w:r w:rsidR="00202F02" w:rsidRPr="00E336F7">
        <w:t>.</w:t>
      </w:r>
      <w:r w:rsidR="005D1889" w:rsidRPr="00E336F7">
        <w:t xml:space="preserve"> </w:t>
      </w:r>
    </w:p>
    <w:p w14:paraId="725C0A5C" w14:textId="77777777" w:rsidR="00612E68" w:rsidRDefault="00612E68" w:rsidP="00612E68">
      <w:pPr>
        <w:jc w:val="both"/>
      </w:pPr>
    </w:p>
    <w:p w14:paraId="52C53EE2" w14:textId="49984A02" w:rsidR="00EF1919" w:rsidRPr="00E336F7" w:rsidRDefault="007D7D5B" w:rsidP="00612E68">
      <w:pPr>
        <w:ind w:firstLine="576"/>
        <w:jc w:val="both"/>
      </w:pPr>
      <w:r w:rsidRPr="00E336F7">
        <w:t xml:space="preserve">Kazne, penali i naknade štete pravnim i fizičkim osobama planirani su u iznosu od </w:t>
      </w:r>
      <w:r w:rsidR="00E336F7" w:rsidRPr="00E336F7">
        <w:t>204</w:t>
      </w:r>
      <w:r w:rsidR="00DC3BD4" w:rsidRPr="00E336F7">
        <w:t>.991</w:t>
      </w:r>
      <w:r w:rsidRPr="00E336F7">
        <w:t xml:space="preserve"> </w:t>
      </w:r>
      <w:r w:rsidR="00994C7A" w:rsidRPr="00E336F7">
        <w:t>eura</w:t>
      </w:r>
      <w:r w:rsidRPr="00E336F7">
        <w:t>, a odnose se na</w:t>
      </w:r>
      <w:r w:rsidR="00082995" w:rsidRPr="00E336F7">
        <w:t>jvećim dijelom na</w:t>
      </w:r>
      <w:r w:rsidRPr="00E336F7">
        <w:t xml:space="preserve"> naknade štete pravnim i fizičkim osobama po sudskim presudama</w:t>
      </w:r>
      <w:r w:rsidR="00082995" w:rsidRPr="00E336F7">
        <w:t xml:space="preserve"> za što je planirano </w:t>
      </w:r>
      <w:r w:rsidR="000F46C1" w:rsidRPr="00E336F7">
        <w:t>100.000</w:t>
      </w:r>
      <w:r w:rsidR="0025728A" w:rsidRPr="00E336F7">
        <w:t xml:space="preserve"> </w:t>
      </w:r>
      <w:r w:rsidR="00994C7A" w:rsidRPr="00E336F7">
        <w:t>eura</w:t>
      </w:r>
      <w:r w:rsidR="00955560">
        <w:t>,</w:t>
      </w:r>
      <w:r w:rsidR="00FE44E9" w:rsidRPr="00E336F7">
        <w:t xml:space="preserve"> dok su naknade za zemljišta po upravnim postupcima planirane u iznosu od </w:t>
      </w:r>
      <w:r w:rsidR="00E336F7" w:rsidRPr="00E336F7">
        <w:t>75</w:t>
      </w:r>
      <w:r w:rsidR="00FE44E9" w:rsidRPr="00E336F7">
        <w:t>.000 eura</w:t>
      </w:r>
      <w:r w:rsidR="000451DA" w:rsidRPr="00E336F7">
        <w:t>, a n</w:t>
      </w:r>
      <w:r w:rsidR="00AE2060" w:rsidRPr="00E336F7">
        <w:t>a</w:t>
      </w:r>
      <w:r w:rsidR="000451DA" w:rsidRPr="00E336F7">
        <w:t>knade vjerovnicima po ošasnoj imovini 27.000 eura</w:t>
      </w:r>
      <w:r w:rsidR="00082995" w:rsidRPr="00E336F7">
        <w:t>.</w:t>
      </w:r>
      <w:r w:rsidR="00E336F7" w:rsidRPr="00E336F7">
        <w:t xml:space="preserve"> </w:t>
      </w:r>
      <w:r w:rsidR="00EF1919" w:rsidRPr="00E336F7">
        <w:t xml:space="preserve">Preostali rashodi </w:t>
      </w:r>
      <w:r w:rsidR="003D1C49">
        <w:t xml:space="preserve">za </w:t>
      </w:r>
      <w:r w:rsidR="00EF1919" w:rsidRPr="00E336F7">
        <w:t>kazne, penale i naknade štete</w:t>
      </w:r>
      <w:r w:rsidR="003D1C49">
        <w:t xml:space="preserve"> planirani su</w:t>
      </w:r>
      <w:r w:rsidR="00E336F7" w:rsidRPr="00E336F7">
        <w:t xml:space="preserve"> kod proračunskih korisnika</w:t>
      </w:r>
      <w:r w:rsidR="00E336F7">
        <w:t xml:space="preserve"> Aquatika </w:t>
      </w:r>
      <w:r w:rsidR="003D1C49">
        <w:t xml:space="preserve">- </w:t>
      </w:r>
      <w:r w:rsidR="00E336F7">
        <w:t xml:space="preserve">slatkovodni akvarij i Muzeji </w:t>
      </w:r>
      <w:r w:rsidR="003D1C49">
        <w:t>g</w:t>
      </w:r>
      <w:r w:rsidR="00E336F7">
        <w:t xml:space="preserve">rada </w:t>
      </w:r>
      <w:r w:rsidR="003D1C49">
        <w:t>K</w:t>
      </w:r>
      <w:r w:rsidR="00E336F7">
        <w:t>arlovca i to u iznosu od 2.991 eura.</w:t>
      </w:r>
    </w:p>
    <w:p w14:paraId="5700FB6C" w14:textId="77777777" w:rsidR="003767C7" w:rsidRDefault="003767C7" w:rsidP="007613FD">
      <w:pPr>
        <w:jc w:val="both"/>
      </w:pPr>
    </w:p>
    <w:p w14:paraId="4005FA0D" w14:textId="5BBA372C" w:rsidR="00A41BF1" w:rsidRPr="004E13D0" w:rsidRDefault="007D7D5B" w:rsidP="007613FD">
      <w:pPr>
        <w:pStyle w:val="Heading2"/>
        <w:spacing w:before="0" w:after="0"/>
      </w:pPr>
      <w:r w:rsidRPr="004E13D0">
        <w:t xml:space="preserve">RASHODI ZA NABAVU NEFINANCIJSKE IMOVINE </w:t>
      </w:r>
    </w:p>
    <w:p w14:paraId="40569665" w14:textId="77777777" w:rsidR="00A41BF1" w:rsidRDefault="00A41BF1" w:rsidP="007613FD">
      <w:pPr>
        <w:jc w:val="both"/>
      </w:pPr>
    </w:p>
    <w:p w14:paraId="54D47A14" w14:textId="0FD993D5" w:rsidR="00A41BF1" w:rsidRDefault="007D7D5B" w:rsidP="007613FD">
      <w:pPr>
        <w:ind w:firstLine="708"/>
        <w:jc w:val="both"/>
      </w:pPr>
      <w:r>
        <w:t xml:space="preserve">Rashodi za nabavu nefinancijske imovine planirani su u iznosu od </w:t>
      </w:r>
      <w:r w:rsidR="009849AD">
        <w:t>39.945.504</w:t>
      </w:r>
      <w:r>
        <w:t xml:space="preserve"> </w:t>
      </w:r>
      <w:r w:rsidR="00994C7A">
        <w:t>eura</w:t>
      </w:r>
      <w:r>
        <w:t xml:space="preserve"> ili </w:t>
      </w:r>
      <w:r w:rsidRPr="008315BE">
        <w:t xml:space="preserve">za </w:t>
      </w:r>
      <w:r w:rsidR="009849AD">
        <w:t>13</w:t>
      </w:r>
      <w:r w:rsidR="00B42E18" w:rsidRPr="008315BE">
        <w:t>,</w:t>
      </w:r>
      <w:r w:rsidR="009849AD">
        <w:t>3</w:t>
      </w:r>
      <w:r w:rsidRPr="008315BE">
        <w:t xml:space="preserve"> mil. </w:t>
      </w:r>
      <w:r w:rsidR="00994C7A" w:rsidRPr="008315BE">
        <w:t>eura</w:t>
      </w:r>
      <w:r w:rsidR="00E853F8" w:rsidRPr="008315BE">
        <w:t xml:space="preserve"> više</w:t>
      </w:r>
      <w:r w:rsidRPr="008315BE">
        <w:t xml:space="preserve"> u odnosu na rashode planirane </w:t>
      </w:r>
      <w:r w:rsidR="009849AD">
        <w:t>D</w:t>
      </w:r>
      <w:r w:rsidR="00393C2C">
        <w:t xml:space="preserve">rugim </w:t>
      </w:r>
      <w:r w:rsidR="009849AD">
        <w:t>i</w:t>
      </w:r>
      <w:r w:rsidR="00393C2C">
        <w:t xml:space="preserve">zmjenama i dopunama </w:t>
      </w:r>
      <w:r w:rsidR="001A268B">
        <w:t>p</w:t>
      </w:r>
      <w:r w:rsidR="00393C2C">
        <w:t>lana za 202</w:t>
      </w:r>
      <w:r w:rsidR="009849AD">
        <w:t>3</w:t>
      </w:r>
      <w:r w:rsidR="00393C2C">
        <w:t>.</w:t>
      </w:r>
      <w:r w:rsidR="008315BE" w:rsidRPr="008315BE">
        <w:t xml:space="preserve">, </w:t>
      </w:r>
      <w:r w:rsidRPr="008315BE">
        <w:t xml:space="preserve">a </w:t>
      </w:r>
      <w:r w:rsidR="00E853F8">
        <w:t>povećanje</w:t>
      </w:r>
      <w:r w:rsidR="00082995">
        <w:t xml:space="preserve"> </w:t>
      </w:r>
      <w:r>
        <w:t xml:space="preserve">rashoda za nabavu nefinancijske imovine rezultat je </w:t>
      </w:r>
      <w:r w:rsidR="00E853F8">
        <w:t xml:space="preserve">povećanja </w:t>
      </w:r>
      <w:r w:rsidR="00DA7662" w:rsidRPr="00DA7662">
        <w:rPr>
          <w:bCs/>
        </w:rPr>
        <w:t>rashoda određen</w:t>
      </w:r>
      <w:r w:rsidR="00DA7662">
        <w:rPr>
          <w:bCs/>
        </w:rPr>
        <w:t>ih</w:t>
      </w:r>
      <w:r w:rsidR="00DA7662" w:rsidRPr="00DA7662">
        <w:rPr>
          <w:bCs/>
        </w:rPr>
        <w:t xml:space="preserve"> za kupnju i izgradnju građevinskih objekata</w:t>
      </w:r>
      <w:r w:rsidR="00313870">
        <w:t xml:space="preserve"> </w:t>
      </w:r>
      <w:r w:rsidR="00B42E18">
        <w:t xml:space="preserve">koji su </w:t>
      </w:r>
      <w:r w:rsidR="00326BF6">
        <w:t xml:space="preserve">planirani u iznosu od </w:t>
      </w:r>
      <w:r w:rsidR="009849AD">
        <w:t>22</w:t>
      </w:r>
      <w:r w:rsidR="00073BF7">
        <w:t>,</w:t>
      </w:r>
      <w:r w:rsidR="009849AD">
        <w:t>3</w:t>
      </w:r>
      <w:r w:rsidR="00326BF6">
        <w:t xml:space="preserve"> mil. eura. </w:t>
      </w:r>
      <w:r>
        <w:t xml:space="preserve">U ukupnim rashodima i izdacima </w:t>
      </w:r>
      <w:r w:rsidR="00A0665D">
        <w:t xml:space="preserve">skupina rashoda za nabavu nefinancijske imovine </w:t>
      </w:r>
      <w:r>
        <w:t>sudjeluj</w:t>
      </w:r>
      <w:r w:rsidR="00A0665D">
        <w:t>e</w:t>
      </w:r>
      <w:r>
        <w:t xml:space="preserve"> s </w:t>
      </w:r>
      <w:r w:rsidR="009849AD">
        <w:t>41,94</w:t>
      </w:r>
      <w:r>
        <w:t xml:space="preserve">%. </w:t>
      </w:r>
    </w:p>
    <w:p w14:paraId="765C45DA" w14:textId="6FA4DAF2" w:rsidR="00A41BF1" w:rsidRDefault="007D7D5B" w:rsidP="00011E6F">
      <w:pPr>
        <w:ind w:firstLine="708"/>
        <w:jc w:val="both"/>
      </w:pPr>
      <w:r>
        <w:t xml:space="preserve">Od toga su </w:t>
      </w:r>
      <w:r>
        <w:rPr>
          <w:b/>
        </w:rPr>
        <w:t>rashodi za nabavu neproizvedene dugotrajne imovine</w:t>
      </w:r>
      <w:r>
        <w:t xml:space="preserve"> planirani u iznosu od </w:t>
      </w:r>
      <w:r w:rsidR="009849AD">
        <w:t>844.562</w:t>
      </w:r>
      <w:r>
        <w:t xml:space="preserve"> </w:t>
      </w:r>
      <w:r w:rsidR="00994C7A">
        <w:t>eura</w:t>
      </w:r>
      <w:r>
        <w:t xml:space="preserve"> i namijenjeni su prvenstveno kupnji zemljišta</w:t>
      </w:r>
      <w:r w:rsidRPr="00393C2C">
        <w:t xml:space="preserve">, a </w:t>
      </w:r>
      <w:r w:rsidR="009849AD">
        <w:t>smanjeni</w:t>
      </w:r>
      <w:r w:rsidRPr="00393C2C">
        <w:t xml:space="preserve"> su </w:t>
      </w:r>
      <w:r w:rsidR="001A268B">
        <w:t xml:space="preserve">za </w:t>
      </w:r>
      <w:r w:rsidR="009849AD">
        <w:t>0</w:t>
      </w:r>
      <w:r w:rsidR="001A268B">
        <w:t>,</w:t>
      </w:r>
      <w:r w:rsidR="009849AD">
        <w:t xml:space="preserve">3 </w:t>
      </w:r>
      <w:r w:rsidR="001A268B">
        <w:t xml:space="preserve">mil. eura </w:t>
      </w:r>
      <w:r w:rsidRPr="00393C2C">
        <w:t xml:space="preserve">u odnosu na </w:t>
      </w:r>
      <w:r w:rsidR="009849AD">
        <w:t>D</w:t>
      </w:r>
      <w:r w:rsidR="009B6658">
        <w:t xml:space="preserve">ruge </w:t>
      </w:r>
      <w:r w:rsidR="009849AD">
        <w:t>I</w:t>
      </w:r>
      <w:r w:rsidR="009B6658">
        <w:t xml:space="preserve">zmjene i dopune </w:t>
      </w:r>
      <w:r w:rsidR="001A268B">
        <w:t>p</w:t>
      </w:r>
      <w:r w:rsidR="009B6658">
        <w:t xml:space="preserve">roračuna za </w:t>
      </w:r>
      <w:r w:rsidR="00D12CDA">
        <w:t>202</w:t>
      </w:r>
      <w:r w:rsidR="009849AD">
        <w:t>3</w:t>
      </w:r>
      <w:r w:rsidR="00D12CDA">
        <w:t>.</w:t>
      </w:r>
      <w:r w:rsidRPr="00393C2C">
        <w:t xml:space="preserve"> Rashodi za kupnju zemljišta</w:t>
      </w:r>
      <w:r>
        <w:t xml:space="preserve"> planirani su u iznosu od </w:t>
      </w:r>
      <w:r w:rsidR="009849AD">
        <w:t>729.562</w:t>
      </w:r>
      <w:r w:rsidR="00A54D58">
        <w:t xml:space="preserve"> </w:t>
      </w:r>
      <w:r w:rsidR="00994C7A">
        <w:t>eura</w:t>
      </w:r>
      <w:r w:rsidR="00A54D58">
        <w:t xml:space="preserve"> i odnose se najvećim dijelom na troškove </w:t>
      </w:r>
      <w:r w:rsidR="00A64A09">
        <w:t xml:space="preserve">otkupa </w:t>
      </w:r>
      <w:r w:rsidR="00A54D58">
        <w:t xml:space="preserve">zemljišta vezanih za izgradnju komunalne infrastrukture </w:t>
      </w:r>
      <w:r>
        <w:t xml:space="preserve">dok se na rashode za nematerijalnu imovinu odnosi </w:t>
      </w:r>
      <w:r w:rsidR="005E61C4">
        <w:t>115.000</w:t>
      </w:r>
      <w:r>
        <w:t xml:space="preserve"> </w:t>
      </w:r>
      <w:r w:rsidR="00994C7A">
        <w:t>eura</w:t>
      </w:r>
      <w:r>
        <w:t xml:space="preserve"> </w:t>
      </w:r>
      <w:r w:rsidR="00A54D58">
        <w:t xml:space="preserve">i </w:t>
      </w:r>
      <w:r w:rsidR="005E4530">
        <w:t>radi s</w:t>
      </w:r>
      <w:r w:rsidR="00A54D58">
        <w:t xml:space="preserve">e </w:t>
      </w:r>
      <w:r w:rsidR="005E4530">
        <w:t>o</w:t>
      </w:r>
      <w:r w:rsidR="00A54D58">
        <w:t xml:space="preserve"> </w:t>
      </w:r>
      <w:r>
        <w:t>kupnj</w:t>
      </w:r>
      <w:r w:rsidR="00A54D58">
        <w:t>u</w:t>
      </w:r>
      <w:r>
        <w:t xml:space="preserve"> licenci.</w:t>
      </w:r>
    </w:p>
    <w:p w14:paraId="22334140" w14:textId="77777777" w:rsidR="00612E68" w:rsidRDefault="007D7D5B" w:rsidP="002142D8">
      <w:pPr>
        <w:ind w:firstLine="708"/>
        <w:jc w:val="both"/>
      </w:pPr>
      <w:r>
        <w:rPr>
          <w:b/>
        </w:rPr>
        <w:t>Rashodi za nabavu proizvedene dugotrajne imovine</w:t>
      </w:r>
      <w:r>
        <w:t xml:space="preserve"> planirani su u iznosu od </w:t>
      </w:r>
      <w:r w:rsidR="009849AD">
        <w:t>22.339.517</w:t>
      </w:r>
      <w:r>
        <w:t xml:space="preserve"> </w:t>
      </w:r>
      <w:r w:rsidR="00994C7A">
        <w:t>eura</w:t>
      </w:r>
      <w:r>
        <w:t xml:space="preserve"> i</w:t>
      </w:r>
      <w:r w:rsidR="00DA7662">
        <w:t xml:space="preserve"> </w:t>
      </w:r>
      <w:r w:rsidR="00DA7662" w:rsidRPr="00D12CDA">
        <w:t>veći</w:t>
      </w:r>
      <w:r w:rsidRPr="00D12CDA">
        <w:t xml:space="preserve"> su za </w:t>
      </w:r>
      <w:r w:rsidR="009849AD">
        <w:t>8</w:t>
      </w:r>
      <w:r w:rsidR="008F7088" w:rsidRPr="00D12CDA">
        <w:t>,</w:t>
      </w:r>
      <w:r w:rsidR="009849AD">
        <w:t>4</w:t>
      </w:r>
      <w:r w:rsidRPr="00D12CDA">
        <w:t xml:space="preserve"> mil.</w:t>
      </w:r>
      <w:r w:rsidR="006504BE">
        <w:t xml:space="preserve"> </w:t>
      </w:r>
      <w:r w:rsidR="00994C7A" w:rsidRPr="00D12CDA">
        <w:t>eura</w:t>
      </w:r>
      <w:r w:rsidRPr="00D12CDA">
        <w:t xml:space="preserve"> ili za </w:t>
      </w:r>
      <w:r w:rsidR="00ED7F36">
        <w:t>60</w:t>
      </w:r>
      <w:r w:rsidR="00CF75B9">
        <w:t>,41</w:t>
      </w:r>
      <w:r w:rsidRPr="00D12CDA">
        <w:t>% u odnosu na  plan</w:t>
      </w:r>
      <w:r w:rsidR="007A6D09" w:rsidRPr="00D12CDA">
        <w:t>irano</w:t>
      </w:r>
      <w:r w:rsidRPr="00D12CDA">
        <w:t xml:space="preserve"> </w:t>
      </w:r>
      <w:r w:rsidR="00ED7F36">
        <w:t>D</w:t>
      </w:r>
      <w:r w:rsidR="008F7088" w:rsidRPr="00D12CDA">
        <w:t xml:space="preserve">rugim </w:t>
      </w:r>
      <w:r w:rsidR="00D12CDA" w:rsidRPr="00D12CDA">
        <w:rPr>
          <w:color w:val="FF0000"/>
        </w:rPr>
        <w:t xml:space="preserve"> </w:t>
      </w:r>
      <w:r w:rsidR="00ED7F36">
        <w:t>I</w:t>
      </w:r>
      <w:r w:rsidR="008F7088" w:rsidRPr="00D12CDA">
        <w:t xml:space="preserve">zmjenama i dopunama </w:t>
      </w:r>
      <w:r w:rsidR="006504BE">
        <w:t>p</w:t>
      </w:r>
      <w:r w:rsidR="008F7088" w:rsidRPr="00D12CDA">
        <w:t xml:space="preserve">roračuna Grada Karlovca </w:t>
      </w:r>
      <w:r w:rsidRPr="00D12CDA">
        <w:t>2</w:t>
      </w:r>
      <w:r w:rsidR="00DA7662" w:rsidRPr="00D12CDA">
        <w:t>02</w:t>
      </w:r>
      <w:r w:rsidR="00ED7F36">
        <w:t>3</w:t>
      </w:r>
      <w:r w:rsidRPr="00D12CDA">
        <w:t>. godine.</w:t>
      </w:r>
      <w:r w:rsidR="006504BE">
        <w:t xml:space="preserve"> </w:t>
      </w:r>
      <w:r w:rsidRPr="00D12CDA">
        <w:t xml:space="preserve">Ovi rashodi se najvećim djelom odnose na </w:t>
      </w:r>
      <w:r w:rsidRPr="00D12CDA">
        <w:rPr>
          <w:b/>
        </w:rPr>
        <w:t>rashode određene za kupnju i izgradnju građevinskih objekata</w:t>
      </w:r>
      <w:r w:rsidRPr="00DD3CB5">
        <w:t xml:space="preserve"> u iznosu od </w:t>
      </w:r>
      <w:r w:rsidR="00ED7F36">
        <w:t>20.019.659</w:t>
      </w:r>
      <w:r w:rsidRPr="00DD3CB5">
        <w:t xml:space="preserve"> </w:t>
      </w:r>
      <w:r w:rsidR="00994C7A">
        <w:t>eura</w:t>
      </w:r>
      <w:r w:rsidRPr="00DD3CB5">
        <w:t xml:space="preserve"> ili </w:t>
      </w:r>
      <w:r w:rsidR="00D46368">
        <w:t>8</w:t>
      </w:r>
      <w:r w:rsidR="00ED7F36">
        <w:t>9,62</w:t>
      </w:r>
      <w:r w:rsidRPr="00DD3CB5">
        <w:t xml:space="preserve">% ukupnih rashoda za nabavu proizvedene dugotrajne imovine pri čemu su najznačajniji rashodi namijenjeni za projekt Karlovac II u iznosu od </w:t>
      </w:r>
      <w:r w:rsidR="00ED7F36">
        <w:t>6</w:t>
      </w:r>
      <w:r w:rsidR="003F0FCB">
        <w:t>,</w:t>
      </w:r>
      <w:r w:rsidR="00ED7F36">
        <w:t>4</w:t>
      </w:r>
      <w:r w:rsidR="004B59C4">
        <w:t xml:space="preserve"> </w:t>
      </w:r>
      <w:r w:rsidRPr="00DD3CB5">
        <w:t>mil.</w:t>
      </w:r>
      <w:r w:rsidR="00994C7A" w:rsidRPr="00E807E5">
        <w:t>eura</w:t>
      </w:r>
      <w:r w:rsidRPr="00E807E5">
        <w:t xml:space="preserve">. Radi se o proširenju sustava oborinske odvodnje, rekonstrukciji prometnica i nogostupa, javne rasvjete </w:t>
      </w:r>
      <w:r>
        <w:rPr>
          <w:highlight w:val="white"/>
        </w:rPr>
        <w:t xml:space="preserve">koja će se izvoditi paralelno s proširenjem sustava odvodnje otpadnih voda, te rekonstrukciji postojećeg i izgradnji novog vodoopskrbnog sustava kao zajednički projekt Grada i Vodovoda i kanalizacije. </w:t>
      </w:r>
    </w:p>
    <w:p w14:paraId="732AA8B6" w14:textId="77777777" w:rsidR="00612E68" w:rsidRDefault="00A0426B" w:rsidP="002142D8">
      <w:pPr>
        <w:ind w:firstLine="708"/>
        <w:jc w:val="both"/>
      </w:pPr>
      <w:r w:rsidRPr="00A0426B">
        <w:t>Za izgradnju dječjeg vrtića Luščić planirano je 2,7 mil. eura, a za izgradnju dječjeg vrtića Rečica 0,9 mil.eura.</w:t>
      </w:r>
      <w:r>
        <w:t xml:space="preserve"> Rashodi za izgradnju obilaznice Zvijezda planirani su u iznosu 1,5 mil. eura, za izgradnju sportsko-rekreacijskog centra Mostanje planirano je 1,3 mil. eura, izgradnju prometnice Luščić 1,5 mil. eura, dok je za Park Grabrik planiran iznos od 1 mil. eura. </w:t>
      </w:r>
      <w:r w:rsidRPr="00A0426B">
        <w:t>Rashodi za rekonstrukciju mosta Rakovca planirani su u iznosu od 425.000 eura dok su rashodi za izgradnju nogostupa Žumberačka, Hrnetić i Sajevac planirani u iznosu od 1,3 mil. eura</w:t>
      </w:r>
      <w:r>
        <w:t>. Z</w:t>
      </w:r>
      <w:r w:rsidRPr="00A0426B">
        <w:t>a izgradnju igrališta Cerovac planira</w:t>
      </w:r>
      <w:r w:rsidR="002142D8">
        <w:t>n</w:t>
      </w:r>
      <w:r w:rsidRPr="00A0426B">
        <w:t xml:space="preserve"> je iznos od 65.000 eura, izgradnju nogometnog igrališta Turanj 300.000 eura te za građevinske radove za Teniski centar iznos od 320.000 eura.</w:t>
      </w:r>
      <w:r w:rsidR="002142D8">
        <w:t xml:space="preserve"> </w:t>
      </w:r>
    </w:p>
    <w:p w14:paraId="633BFDDF" w14:textId="4D4BAB90" w:rsidR="00450744" w:rsidRDefault="00A0426B" w:rsidP="002142D8">
      <w:pPr>
        <w:ind w:firstLine="708"/>
        <w:jc w:val="both"/>
      </w:pPr>
      <w:r>
        <w:rPr>
          <w:highlight w:val="white"/>
        </w:rPr>
        <w:t>Također, z</w:t>
      </w:r>
      <w:r w:rsidR="00E807E5">
        <w:rPr>
          <w:highlight w:val="white"/>
        </w:rPr>
        <w:t>a izgradnju garaže Javne vatrogasne postrojbe planirano je 302.936 eura</w:t>
      </w:r>
      <w:r>
        <w:rPr>
          <w:highlight w:val="white"/>
        </w:rPr>
        <w:t xml:space="preserve">, a za komunalno </w:t>
      </w:r>
      <w:r w:rsidRPr="00A0426B">
        <w:t xml:space="preserve">opremanje zgrade POS-a iznos od 10.000 eura. </w:t>
      </w:r>
      <w:r w:rsidR="00F00BC9" w:rsidRPr="00A0426B">
        <w:t xml:space="preserve">Troškovi asfaltiranja makadam prometnica </w:t>
      </w:r>
      <w:r w:rsidR="00D65A54" w:rsidRPr="00A0426B">
        <w:t xml:space="preserve">u sklopu programa građenja komunalne infrastrukture planirani su u iznosu od </w:t>
      </w:r>
      <w:r w:rsidRPr="00A0426B">
        <w:t>1.9</w:t>
      </w:r>
      <w:r w:rsidR="00311470">
        <w:t>64.602</w:t>
      </w:r>
      <w:r w:rsidR="0049308D" w:rsidRPr="00A0426B">
        <w:t xml:space="preserve"> eura u 202</w:t>
      </w:r>
      <w:r w:rsidRPr="00A0426B">
        <w:t>4</w:t>
      </w:r>
      <w:r w:rsidR="0049308D" w:rsidRPr="00A0426B">
        <w:t>. godini</w:t>
      </w:r>
      <w:r w:rsidR="006F1342">
        <w:t xml:space="preserve"> </w:t>
      </w:r>
      <w:r w:rsidR="00450744">
        <w:t xml:space="preserve">i odnose se na sljedeće projekte: </w:t>
      </w:r>
    </w:p>
    <w:p w14:paraId="1084A145" w14:textId="26A733D6" w:rsidR="001D5EC4" w:rsidRDefault="001D5EC4" w:rsidP="00A86F51">
      <w:pPr>
        <w:jc w:val="both"/>
      </w:pPr>
    </w:p>
    <w:p w14:paraId="416AB8A8" w14:textId="0C84CBCC" w:rsidR="00A86F51" w:rsidRDefault="0004612A" w:rsidP="00A86F51">
      <w:pPr>
        <w:jc w:val="both"/>
      </w:pPr>
      <w:r w:rsidRPr="0004612A">
        <w:lastRenderedPageBreak/>
        <w:drawing>
          <wp:inline distT="0" distB="0" distL="0" distR="0" wp14:anchorId="3196C6DB" wp14:editId="79D1FE4B">
            <wp:extent cx="5759450" cy="4754880"/>
            <wp:effectExtent l="0" t="0" r="0" b="7620"/>
            <wp:docPr id="7715906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FF1D" w14:textId="22E57FB3" w:rsidR="00A41BF1" w:rsidRDefault="008A6AAC" w:rsidP="007613FD">
      <w:pPr>
        <w:ind w:firstLine="708"/>
        <w:jc w:val="both"/>
      </w:pPr>
      <w:r>
        <w:t xml:space="preserve">Ovu skupinu rashoda </w:t>
      </w:r>
      <w:r w:rsidR="00CD777F">
        <w:t>čine još i</w:t>
      </w:r>
      <w:r>
        <w:t xml:space="preserve"> </w:t>
      </w:r>
      <w:r w:rsidR="007D7D5B">
        <w:t xml:space="preserve">rashodi za nabavu postrojenja i opreme u iznosu od </w:t>
      </w:r>
      <w:r w:rsidR="006F1342">
        <w:t>690.868</w:t>
      </w:r>
      <w:r w:rsidR="007D7D5B">
        <w:t xml:space="preserve"> </w:t>
      </w:r>
      <w:r w:rsidR="00994C7A">
        <w:t>eura</w:t>
      </w:r>
      <w:r w:rsidR="007D7D5B">
        <w:t xml:space="preserve">, za knjige i umjetnička djela </w:t>
      </w:r>
      <w:r w:rsidR="00BF19D8">
        <w:t xml:space="preserve">planirano je </w:t>
      </w:r>
      <w:r w:rsidR="00637AB8">
        <w:t>40</w:t>
      </w:r>
      <w:r w:rsidR="00BF19D8">
        <w:t>2</w:t>
      </w:r>
      <w:r w:rsidR="00637AB8">
        <w:t>.</w:t>
      </w:r>
      <w:r w:rsidR="00BF19D8">
        <w:t>451</w:t>
      </w:r>
      <w:r w:rsidR="007D7D5B">
        <w:t xml:space="preserve"> </w:t>
      </w:r>
      <w:r w:rsidR="00994C7A">
        <w:t>eura</w:t>
      </w:r>
      <w:r w:rsidR="00CD777F">
        <w:t xml:space="preserve"> dok se na</w:t>
      </w:r>
      <w:r w:rsidR="007D7D5B">
        <w:t xml:space="preserve"> višegodišnje nasade i osnovno stado </w:t>
      </w:r>
      <w:r w:rsidR="00CD777F">
        <w:t>odnosi</w:t>
      </w:r>
      <w:r w:rsidR="007D7D5B">
        <w:t xml:space="preserve"> </w:t>
      </w:r>
      <w:r w:rsidR="00BF19D8">
        <w:t>4.9</w:t>
      </w:r>
      <w:r w:rsidR="00637AB8">
        <w:t>00</w:t>
      </w:r>
      <w:r w:rsidR="007D7D5B">
        <w:t xml:space="preserve"> </w:t>
      </w:r>
      <w:r w:rsidR="00994C7A">
        <w:t>eura</w:t>
      </w:r>
      <w:r w:rsidR="007D7D5B">
        <w:t xml:space="preserve"> (nabava riba).</w:t>
      </w:r>
    </w:p>
    <w:p w14:paraId="7DC5F115" w14:textId="6D278C36" w:rsidR="00BB6EF6" w:rsidRDefault="00ED1699" w:rsidP="00BF2426">
      <w:pPr>
        <w:ind w:firstLine="708"/>
        <w:jc w:val="both"/>
      </w:pPr>
      <w:r w:rsidRPr="00277452">
        <w:t xml:space="preserve">Skupina rashoda za nabavu postrojenja i opreme se najvećim dijelom odnosi na </w:t>
      </w:r>
      <w:r w:rsidR="006B3460" w:rsidRPr="00277452">
        <w:t>opremanje  dječjih igrališta u iznosu od 120.000 eura, opremanje osnovnih škola Grada Karlovca za što je planiran iznos od 134.178 eura, opremanje  ustanova kulture 27.151 eura te ustanova preškolskog odgoja 24.867 eura. Z</w:t>
      </w:r>
      <w:r w:rsidR="00D967A7" w:rsidRPr="00277452">
        <w:t xml:space="preserve">a implementaciju SMART CITY koncepta i ICT poslove planirano je </w:t>
      </w:r>
      <w:r w:rsidR="006B3460" w:rsidRPr="00277452">
        <w:t>95.000</w:t>
      </w:r>
      <w:r w:rsidR="003C56C4" w:rsidRPr="00277452">
        <w:t xml:space="preserve"> eura rashoda za </w:t>
      </w:r>
      <w:r w:rsidR="00BF2426">
        <w:t>informatičku opremu</w:t>
      </w:r>
      <w:r w:rsidR="003C56C4" w:rsidRPr="00277452">
        <w:t>.</w:t>
      </w:r>
      <w:r w:rsidR="003C56C4">
        <w:t xml:space="preserve"> </w:t>
      </w:r>
    </w:p>
    <w:p w14:paraId="0C56E364" w14:textId="171F309B" w:rsidR="00A41BF1" w:rsidRDefault="007D7D5B" w:rsidP="007613FD">
      <w:pPr>
        <w:ind w:right="93" w:firstLine="708"/>
        <w:jc w:val="both"/>
      </w:pPr>
      <w:r>
        <w:t>Skupina</w:t>
      </w:r>
      <w:r w:rsidR="00262249">
        <w:t xml:space="preserve"> </w:t>
      </w:r>
      <w:r>
        <w:t xml:space="preserve">rashoda za </w:t>
      </w:r>
      <w:r w:rsidRPr="00BF19D8">
        <w:rPr>
          <w:b/>
          <w:bCs/>
        </w:rPr>
        <w:t>nabavu plemenitih metala i ostalih pohranjenih vrijednosti</w:t>
      </w:r>
      <w:r>
        <w:t xml:space="preserve"> planirana je u iznosu od </w:t>
      </w:r>
      <w:r w:rsidR="00DF614D">
        <w:t>700</w:t>
      </w:r>
      <w:r>
        <w:t xml:space="preserve"> </w:t>
      </w:r>
      <w:r w:rsidR="00994C7A">
        <w:t>eura</w:t>
      </w:r>
      <w:r w:rsidR="009F4538">
        <w:t xml:space="preserve"> što je na razini Proračuna za 202</w:t>
      </w:r>
      <w:r w:rsidR="00BF19D8">
        <w:t>3</w:t>
      </w:r>
      <w:r w:rsidR="009F4538">
        <w:t>.</w:t>
      </w:r>
      <w:r w:rsidR="00FD1C05">
        <w:t xml:space="preserve"> </w:t>
      </w:r>
      <w:r w:rsidR="009F4538">
        <w:t>godinu</w:t>
      </w:r>
      <w:r>
        <w:t>.</w:t>
      </w:r>
    </w:p>
    <w:p w14:paraId="595AC6FE" w14:textId="495C13F4" w:rsidR="00277452" w:rsidRDefault="007D7D5B" w:rsidP="007613FD">
      <w:pPr>
        <w:ind w:right="93"/>
        <w:jc w:val="both"/>
      </w:pPr>
      <w:r>
        <w:t xml:space="preserve">            </w:t>
      </w:r>
      <w:r w:rsidRPr="00680ABE">
        <w:rPr>
          <w:b/>
        </w:rPr>
        <w:t>Dodatna ulaganja na građevinskim objektima</w:t>
      </w:r>
      <w:r>
        <w:t xml:space="preserve"> planirana su u iznosu od </w:t>
      </w:r>
      <w:r w:rsidR="00277452">
        <w:t>16.759.725</w:t>
      </w:r>
      <w:r w:rsidR="0032503E">
        <w:t xml:space="preserve"> </w:t>
      </w:r>
      <w:r w:rsidR="00994C7A">
        <w:t>eura</w:t>
      </w:r>
      <w:r>
        <w:t xml:space="preserve"> </w:t>
      </w:r>
      <w:r w:rsidRPr="00D12CDA">
        <w:t xml:space="preserve">i </w:t>
      </w:r>
      <w:r w:rsidR="00277452">
        <w:t>veća</w:t>
      </w:r>
      <w:r w:rsidR="003C56C4" w:rsidRPr="00D12CDA">
        <w:t xml:space="preserve"> su za </w:t>
      </w:r>
      <w:r w:rsidR="00277452">
        <w:t>5</w:t>
      </w:r>
      <w:r w:rsidR="003444C1" w:rsidRPr="00D12CDA">
        <w:t>,2 mil</w:t>
      </w:r>
      <w:r w:rsidRPr="00D12CDA">
        <w:t>.</w:t>
      </w:r>
      <w:r w:rsidR="00C82749" w:rsidRPr="00D12CDA">
        <w:t xml:space="preserve"> </w:t>
      </w:r>
      <w:r w:rsidR="00994C7A" w:rsidRPr="00D12CDA">
        <w:t>eura</w:t>
      </w:r>
      <w:r w:rsidRPr="00D12CDA">
        <w:t xml:space="preserve"> u odnosu na plan</w:t>
      </w:r>
      <w:r w:rsidR="0032503E" w:rsidRPr="00D12CDA">
        <w:t xml:space="preserve">irano </w:t>
      </w:r>
      <w:r w:rsidR="00277452">
        <w:t>D</w:t>
      </w:r>
      <w:r w:rsidR="00BB1192" w:rsidRPr="00D12CDA">
        <w:t>rugim</w:t>
      </w:r>
      <w:r w:rsidR="0032503E" w:rsidRPr="00D12CDA">
        <w:t xml:space="preserve"> </w:t>
      </w:r>
      <w:r w:rsidR="00277452">
        <w:t>i</w:t>
      </w:r>
      <w:r w:rsidR="0032503E" w:rsidRPr="00D12CDA">
        <w:t xml:space="preserve">zmjenama i dopunama plana za </w:t>
      </w:r>
      <w:r w:rsidRPr="00D12CDA">
        <w:t>20</w:t>
      </w:r>
      <w:r w:rsidR="009F4538" w:rsidRPr="00D12CDA">
        <w:t>2</w:t>
      </w:r>
      <w:r w:rsidR="00277452">
        <w:t>3</w:t>
      </w:r>
      <w:r w:rsidRPr="00D12CDA">
        <w:t>. godin</w:t>
      </w:r>
      <w:r w:rsidR="0032503E" w:rsidRPr="00D12CDA">
        <w:t>u</w:t>
      </w:r>
      <w:r w:rsidR="00271C4D" w:rsidRPr="00D12CDA">
        <w:t>.</w:t>
      </w:r>
      <w:r w:rsidR="00C54E41" w:rsidRPr="00D12CDA">
        <w:t xml:space="preserve"> </w:t>
      </w:r>
      <w:r w:rsidR="00FE3A0E" w:rsidRPr="00D12CDA">
        <w:t xml:space="preserve">Rashodi za dodatna ulaganja na građevinskim objektima se </w:t>
      </w:r>
      <w:r w:rsidRPr="00D12CDA">
        <w:t>najvećim</w:t>
      </w:r>
      <w:r>
        <w:t xml:space="preserve"> dijelom odnose na</w:t>
      </w:r>
      <w:r w:rsidR="00872ABE">
        <w:t xml:space="preserve"> </w:t>
      </w:r>
      <w:r w:rsidR="00277452">
        <w:t xml:space="preserve">rashode u </w:t>
      </w:r>
      <w:r w:rsidR="00277452" w:rsidRPr="00277452">
        <w:t>sklopu programa Zaštite i očuvanja kulturne baštine</w:t>
      </w:r>
      <w:r w:rsidR="002D7465">
        <w:t xml:space="preserve"> za cjelovitu obnovu objekata oštećenih u potresu</w:t>
      </w:r>
      <w:r w:rsidR="00277452">
        <w:t xml:space="preserve">, i to u iznosu od 9,2 mil. eura, a odnose se na kapitalne projekte </w:t>
      </w:r>
    </w:p>
    <w:p w14:paraId="27331FE6" w14:textId="1BEE88CC" w:rsidR="00277452" w:rsidRDefault="00277452" w:rsidP="00D86806">
      <w:pPr>
        <w:pStyle w:val="ListParagraph"/>
        <w:numPr>
          <w:ilvl w:val="0"/>
          <w:numId w:val="27"/>
        </w:numPr>
        <w:ind w:right="93"/>
        <w:jc w:val="both"/>
      </w:pPr>
      <w:r>
        <w:t xml:space="preserve">Mjere zaštite zgrade Hrvatskog doma </w:t>
      </w:r>
      <w:r>
        <w:tab/>
      </w:r>
      <w:r>
        <w:tab/>
      </w:r>
      <w:r>
        <w:tab/>
        <w:t>2.500.000 eura</w:t>
      </w:r>
    </w:p>
    <w:p w14:paraId="0FE2D077" w14:textId="11CB0C64" w:rsidR="00277452" w:rsidRDefault="00277452" w:rsidP="00D86806">
      <w:pPr>
        <w:pStyle w:val="ListParagraph"/>
        <w:numPr>
          <w:ilvl w:val="0"/>
          <w:numId w:val="27"/>
        </w:numPr>
        <w:ind w:right="93"/>
        <w:jc w:val="both"/>
      </w:pPr>
      <w:r>
        <w:t xml:space="preserve">Mjere zaštite zgrade gradske uprave na trgu bana J.Jelčića </w:t>
      </w:r>
      <w:r>
        <w:tab/>
        <w:t>3.200.000 eura</w:t>
      </w:r>
    </w:p>
    <w:p w14:paraId="47CAF809" w14:textId="48458758" w:rsidR="00277452" w:rsidRDefault="00277452" w:rsidP="00D86806">
      <w:pPr>
        <w:pStyle w:val="ListParagraph"/>
        <w:numPr>
          <w:ilvl w:val="0"/>
          <w:numId w:val="27"/>
        </w:numPr>
        <w:ind w:right="93"/>
        <w:jc w:val="both"/>
      </w:pPr>
      <w:r>
        <w:t xml:space="preserve">Mjere zaštite zgrade Gradskog muzeja </w:t>
      </w:r>
      <w:r>
        <w:tab/>
      </w:r>
      <w:r>
        <w:tab/>
      </w:r>
      <w:r>
        <w:tab/>
        <w:t>3.000.000 eura</w:t>
      </w:r>
    </w:p>
    <w:p w14:paraId="3A70E16C" w14:textId="6859A166" w:rsidR="00277452" w:rsidRDefault="00277452" w:rsidP="00D86806">
      <w:pPr>
        <w:pStyle w:val="ListParagraph"/>
        <w:numPr>
          <w:ilvl w:val="0"/>
          <w:numId w:val="27"/>
        </w:numPr>
        <w:ind w:right="93"/>
        <w:jc w:val="both"/>
      </w:pPr>
      <w:r>
        <w:t xml:space="preserve">Mjere zaštite kuće na adresi Gornja Gaza 3 </w:t>
      </w:r>
      <w:r>
        <w:tab/>
      </w:r>
      <w:r>
        <w:tab/>
      </w:r>
      <w:r>
        <w:tab/>
        <w:t>500.000 eura</w:t>
      </w:r>
    </w:p>
    <w:p w14:paraId="16CE5650" w14:textId="6D614366" w:rsidR="00277452" w:rsidRDefault="002D7465" w:rsidP="002D7465">
      <w:pPr>
        <w:ind w:right="93" w:firstLine="720"/>
        <w:jc w:val="both"/>
      </w:pPr>
      <w:r>
        <w:t>Ovdje nisu planirana sredstva za cjelovitu obnovu zgrade KAMOD-a jer taj objekt nije vlansištvo Grada, pa su sredstva za taj projekt planirana na rashodima za održavanje objekata.</w:t>
      </w:r>
    </w:p>
    <w:p w14:paraId="540F8E55" w14:textId="6A532CE5" w:rsidR="00D86806" w:rsidRDefault="0024516D" w:rsidP="002D7465">
      <w:pPr>
        <w:ind w:right="93" w:firstLine="720"/>
        <w:jc w:val="both"/>
      </w:pPr>
      <w:r>
        <w:t xml:space="preserve">U ovoj skupini rashoda planirana je i </w:t>
      </w:r>
      <w:r w:rsidR="002D7465">
        <w:t xml:space="preserve">cjelovita </w:t>
      </w:r>
      <w:r w:rsidR="00D86806">
        <w:t>obnova zgrade Osnovne škole Dragojla Jarnević oštećena u serji potresa u iznosu od 6 mil. eura</w:t>
      </w:r>
      <w:r w:rsidR="00C94ADF">
        <w:t>,</w:t>
      </w:r>
      <w:r w:rsidR="00D86806">
        <w:t xml:space="preserve"> dok je projekt Sola</w:t>
      </w:r>
      <w:r w:rsidR="002D7465">
        <w:t>r</w:t>
      </w:r>
      <w:r w:rsidR="00D86806">
        <w:t xml:space="preserve">izacije ustanova grada Karlovca SOLARIKA planiran u iznosu od 367.901 eura. Za projekt sanacije </w:t>
      </w:r>
      <w:r w:rsidR="00D86806">
        <w:lastRenderedPageBreak/>
        <w:t>pothodnika planiran je iznos od 130.000 eura, dodatna ulaganja na objektu Atletskog kluba Foginovo 140.000 eura te objektu Kon</w:t>
      </w:r>
      <w:r w:rsidR="00533678">
        <w:t>j</w:t>
      </w:r>
      <w:r w:rsidR="00D86806">
        <w:t>ičkog kluba Karlovac 70.000 eura.</w:t>
      </w:r>
      <w:r w:rsidR="00D86806" w:rsidRPr="00D86806">
        <w:t xml:space="preserve"> </w:t>
      </w:r>
      <w:r w:rsidR="00D86806">
        <w:t>Rashodi za energetsku obnovu zgrade J</w:t>
      </w:r>
      <w:r w:rsidR="00533678">
        <w:t>avne vatrogasne postrojbe</w:t>
      </w:r>
      <w:r w:rsidR="00D86806">
        <w:t xml:space="preserve"> planirani su u iznosu od 60.000 eura</w:t>
      </w:r>
      <w:r w:rsidR="00533678">
        <w:t>,</w:t>
      </w:r>
      <w:r w:rsidR="00D86806">
        <w:t xml:space="preserve"> dok je za dodatna ulaganja na objektima u vlasništvu grada planirano 85.000 eura. Za dodatna ulaganja na objektima osnovni</w:t>
      </w:r>
      <w:r w:rsidR="00607E74">
        <w:t>h</w:t>
      </w:r>
      <w:r w:rsidR="00D86806">
        <w:t xml:space="preserve"> škola planiran je iznos od 100.000 eura</w:t>
      </w:r>
      <w:r w:rsidR="002715C9">
        <w:t xml:space="preserve">. </w:t>
      </w:r>
    </w:p>
    <w:p w14:paraId="41994ECE" w14:textId="1D8CC4B2" w:rsidR="00A41BF1" w:rsidRDefault="00D86806" w:rsidP="002D7465">
      <w:pPr>
        <w:ind w:firstLine="576"/>
        <w:jc w:val="both"/>
        <w:rPr>
          <w:bCs/>
        </w:rPr>
      </w:pPr>
      <w:r w:rsidRPr="00680ABE">
        <w:rPr>
          <w:b/>
        </w:rPr>
        <w:t xml:space="preserve">Dodatna ulaganja na </w:t>
      </w:r>
      <w:r w:rsidR="00DA7722">
        <w:rPr>
          <w:b/>
        </w:rPr>
        <w:t xml:space="preserve">postrojenjima i opremi </w:t>
      </w:r>
      <w:r w:rsidR="00DA7722">
        <w:rPr>
          <w:bCs/>
        </w:rPr>
        <w:t>planirana su u iznosu od 1.000 eura, a odnose se na dodatna ulaganja za Stari grad Dubovac.</w:t>
      </w:r>
    </w:p>
    <w:p w14:paraId="3015D581" w14:textId="06873FD7" w:rsidR="00DA7722" w:rsidRPr="00DA7722" w:rsidRDefault="00A12EDC" w:rsidP="002D7465">
      <w:pPr>
        <w:ind w:firstLine="576"/>
        <w:jc w:val="both"/>
        <w:rPr>
          <w:bCs/>
          <w:sz w:val="22"/>
          <w:szCs w:val="22"/>
        </w:rPr>
      </w:pPr>
      <w:r>
        <w:t>U strukturi ukupnih rashoda i izdataka Proračuna za 2024. godinu ova skupina rashoda čini 17,6%.</w:t>
      </w:r>
    </w:p>
    <w:p w14:paraId="04AA958F" w14:textId="77777777" w:rsidR="00D86806" w:rsidRDefault="00D86806" w:rsidP="007613FD">
      <w:pPr>
        <w:jc w:val="both"/>
        <w:rPr>
          <w:sz w:val="22"/>
          <w:szCs w:val="22"/>
        </w:rPr>
      </w:pPr>
    </w:p>
    <w:p w14:paraId="3170FC65" w14:textId="4CA7A0DF" w:rsidR="00A41BF1" w:rsidRDefault="007D7D5B" w:rsidP="007613FD">
      <w:pPr>
        <w:pStyle w:val="Heading2"/>
        <w:spacing w:before="0" w:after="0"/>
      </w:pPr>
      <w:r>
        <w:t xml:space="preserve">IZDACI ZA FINANCIJSKU IMOVINU I OTPLATE ZAJMOVA </w:t>
      </w:r>
    </w:p>
    <w:p w14:paraId="568F7413" w14:textId="77777777" w:rsidR="00A41BF1" w:rsidRDefault="00A41BF1" w:rsidP="007613FD">
      <w:pPr>
        <w:ind w:left="360"/>
        <w:jc w:val="both"/>
        <w:rPr>
          <w:sz w:val="22"/>
          <w:szCs w:val="22"/>
        </w:rPr>
      </w:pPr>
    </w:p>
    <w:p w14:paraId="66F9AB6A" w14:textId="69AF2413" w:rsidR="00B13F63" w:rsidRDefault="007D7D5B" w:rsidP="007613FD">
      <w:pPr>
        <w:ind w:firstLine="708"/>
        <w:jc w:val="both"/>
      </w:pPr>
      <w:r>
        <w:t xml:space="preserve">Navedeni rashodi planirani su u ukupnom iznosu od </w:t>
      </w:r>
      <w:r w:rsidR="00DA7722">
        <w:t>1.525</w:t>
      </w:r>
      <w:r w:rsidR="00DE0EC7" w:rsidRPr="006B2CBF">
        <w:t>.000</w:t>
      </w:r>
      <w:r w:rsidR="0050560D" w:rsidRPr="006B2CBF">
        <w:t xml:space="preserve"> </w:t>
      </w:r>
      <w:r w:rsidR="00994C7A" w:rsidRPr="006B2CBF">
        <w:t>eura</w:t>
      </w:r>
      <w:r w:rsidRPr="006B2CBF">
        <w:t>,</w:t>
      </w:r>
      <w:r>
        <w:t xml:space="preserve"> što je za </w:t>
      </w:r>
      <w:r w:rsidR="00C73998">
        <w:t>0,</w:t>
      </w:r>
      <w:r w:rsidR="00DA7722">
        <w:t>7</w:t>
      </w:r>
      <w:r w:rsidR="0050560D">
        <w:t xml:space="preserve"> mil.</w:t>
      </w:r>
      <w:r>
        <w:t xml:space="preserve"> </w:t>
      </w:r>
      <w:r w:rsidR="00994C7A">
        <w:t>eura</w:t>
      </w:r>
      <w:r w:rsidR="0032503E">
        <w:t xml:space="preserve"> </w:t>
      </w:r>
      <w:r w:rsidR="004C16DF">
        <w:t>manje</w:t>
      </w:r>
      <w:r>
        <w:t xml:space="preserve"> u odnosu na plan</w:t>
      </w:r>
      <w:r w:rsidR="0032503E">
        <w:t>irano</w:t>
      </w:r>
      <w:r>
        <w:t xml:space="preserve"> u 20</w:t>
      </w:r>
      <w:r w:rsidR="004C16DF">
        <w:t>2</w:t>
      </w:r>
      <w:r w:rsidR="00DA7722">
        <w:t>3</w:t>
      </w:r>
      <w:r>
        <w:t>. godini</w:t>
      </w:r>
      <w:r w:rsidR="00B13F63">
        <w:t>, a odnosi</w:t>
      </w:r>
      <w:r w:rsidR="004C16DF">
        <w:t xml:space="preserve"> se</w:t>
      </w:r>
      <w:r w:rsidR="00B13F63">
        <w:t xml:space="preserve"> na </w:t>
      </w:r>
      <w:r w:rsidR="00B13F63" w:rsidRPr="0025035C">
        <w:t>otplatu glavnica dugoročn</w:t>
      </w:r>
      <w:r w:rsidR="00975AFC" w:rsidRPr="0025035C">
        <w:t>ih</w:t>
      </w:r>
      <w:r w:rsidR="00B13F63" w:rsidRPr="0025035C">
        <w:t xml:space="preserve"> kredita Grada</w:t>
      </w:r>
      <w:r w:rsidR="004922AD" w:rsidRPr="0025035C">
        <w:t xml:space="preserve"> za što je planirano </w:t>
      </w:r>
      <w:r w:rsidR="00DA7722">
        <w:t>1.025</w:t>
      </w:r>
      <w:r w:rsidR="004922AD" w:rsidRPr="0025035C">
        <w:t xml:space="preserve">.000 eura. </w:t>
      </w:r>
      <w:r w:rsidR="00434CCB" w:rsidRPr="0025035C">
        <w:t xml:space="preserve">Izdaci za </w:t>
      </w:r>
      <w:r w:rsidR="00904155" w:rsidRPr="0025035C">
        <w:t>dionice i udjele u glavnici</w:t>
      </w:r>
      <w:r w:rsidR="00904155">
        <w:t xml:space="preserve"> planirani su u 202</w:t>
      </w:r>
      <w:r w:rsidR="00DA7722">
        <w:t>4</w:t>
      </w:r>
      <w:r w:rsidR="00904155">
        <w:t xml:space="preserve">. godini u iznosu od </w:t>
      </w:r>
      <w:r w:rsidR="00DA7722">
        <w:t>500</w:t>
      </w:r>
      <w:r w:rsidR="00904155">
        <w:t>.000 eura</w:t>
      </w:r>
      <w:r w:rsidR="00432802">
        <w:t xml:space="preserve"> i odnose se na stjecanje udjela u </w:t>
      </w:r>
      <w:r w:rsidR="00C24A07">
        <w:t xml:space="preserve">kapitalu trgovačkog društva </w:t>
      </w:r>
      <w:r w:rsidR="00DA7722">
        <w:t>Gradska toplana</w:t>
      </w:r>
      <w:r w:rsidR="009709B5">
        <w:t xml:space="preserve"> d.o.o.</w:t>
      </w:r>
      <w:r w:rsidR="00904155">
        <w:t xml:space="preserve"> </w:t>
      </w:r>
    </w:p>
    <w:p w14:paraId="30B43B81" w14:textId="176897AF" w:rsidR="00A41BF1" w:rsidRDefault="007D7D5B" w:rsidP="007613FD">
      <w:pPr>
        <w:ind w:firstLine="708"/>
        <w:jc w:val="both"/>
      </w:pPr>
      <w:r>
        <w:t xml:space="preserve">U strukturi ukupnih rashoda ovi izdaci čine </w:t>
      </w:r>
      <w:r w:rsidR="00D96921">
        <w:t>1,</w:t>
      </w:r>
      <w:r w:rsidR="00DA7722">
        <w:t>6</w:t>
      </w:r>
      <w:r>
        <w:t>%</w:t>
      </w:r>
      <w:r w:rsidR="00B13F63">
        <w:t xml:space="preserve">. </w:t>
      </w:r>
    </w:p>
    <w:p w14:paraId="007BF217" w14:textId="77777777" w:rsidR="00DA7722" w:rsidRDefault="00DA7722" w:rsidP="007613FD">
      <w:pPr>
        <w:ind w:firstLine="708"/>
        <w:jc w:val="both"/>
      </w:pPr>
    </w:p>
    <w:p w14:paraId="0D5B9EE8" w14:textId="77777777" w:rsidR="00A41BF1" w:rsidRDefault="007D7D5B" w:rsidP="007613FD">
      <w:pPr>
        <w:jc w:val="both"/>
      </w:pPr>
      <w:r>
        <w:t>Za naredne dvije godine rashodi Proračuna Grada projicirani su u sljedećim iznosima:</w:t>
      </w:r>
    </w:p>
    <w:p w14:paraId="0EEBD1FF" w14:textId="77777777" w:rsidR="00A41BF1" w:rsidRDefault="00A41BF1" w:rsidP="007613FD">
      <w:pPr>
        <w:jc w:val="both"/>
      </w:pPr>
    </w:p>
    <w:p w14:paraId="07E3E175" w14:textId="070AA0ED" w:rsidR="00A41BF1" w:rsidRDefault="00A41BF1" w:rsidP="007613FD">
      <w:pPr>
        <w:jc w:val="both"/>
      </w:pPr>
    </w:p>
    <w:p w14:paraId="4C4CF35C" w14:textId="15376938" w:rsidR="00A41BF1" w:rsidRDefault="007D7D5B" w:rsidP="007613FD">
      <w:pPr>
        <w:jc w:val="both"/>
        <w:rPr>
          <w:b/>
        </w:rPr>
      </w:pPr>
      <w:r>
        <w:rPr>
          <w:b/>
        </w:rPr>
        <w:t xml:space="preserve">Tablica </w:t>
      </w:r>
      <w:r w:rsidR="00EA0373">
        <w:rPr>
          <w:b/>
        </w:rPr>
        <w:t>6</w:t>
      </w:r>
      <w:r>
        <w:rPr>
          <w:b/>
        </w:rPr>
        <w:t>. Prikaz planiranih rashoda i izdataka za razdoblje 20</w:t>
      </w:r>
      <w:r w:rsidR="00A97FE8">
        <w:rPr>
          <w:b/>
        </w:rPr>
        <w:t>2</w:t>
      </w:r>
      <w:r w:rsidR="000E2726">
        <w:rPr>
          <w:b/>
        </w:rPr>
        <w:t>3</w:t>
      </w:r>
      <w:r>
        <w:rPr>
          <w:b/>
        </w:rPr>
        <w:t>. - 202</w:t>
      </w:r>
      <w:r w:rsidR="000E2726">
        <w:rPr>
          <w:b/>
        </w:rPr>
        <w:t>6</w:t>
      </w:r>
      <w:r>
        <w:rPr>
          <w:b/>
        </w:rPr>
        <w:t>. prema osnovnim vrstama</w:t>
      </w:r>
    </w:p>
    <w:p w14:paraId="3F20F08E" w14:textId="5F824F8F" w:rsidR="00A41BF1" w:rsidRDefault="000E2726" w:rsidP="007613FD">
      <w:pPr>
        <w:jc w:val="both"/>
      </w:pPr>
      <w:r w:rsidRPr="000E2726">
        <w:rPr>
          <w:noProof/>
        </w:rPr>
        <w:drawing>
          <wp:inline distT="0" distB="0" distL="0" distR="0" wp14:anchorId="1F763D00" wp14:editId="487F472E">
            <wp:extent cx="5759450" cy="3430270"/>
            <wp:effectExtent l="0" t="0" r="0" b="0"/>
            <wp:docPr id="981965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5325" w14:textId="77777777" w:rsidR="00A41BF1" w:rsidRDefault="00A41BF1" w:rsidP="007613FD">
      <w:pPr>
        <w:ind w:left="720"/>
        <w:jc w:val="both"/>
      </w:pPr>
    </w:p>
    <w:p w14:paraId="17197805" w14:textId="1D779913" w:rsidR="00A41BF1" w:rsidRPr="0000484D" w:rsidRDefault="007D7D5B" w:rsidP="007613FD">
      <w:pPr>
        <w:pStyle w:val="Heading1"/>
        <w:spacing w:before="0" w:after="0"/>
      </w:pPr>
      <w:r w:rsidRPr="0000484D">
        <w:t>RASHODI PO IZVORIMA FINANCIRANJA</w:t>
      </w:r>
    </w:p>
    <w:p w14:paraId="471E0F57" w14:textId="77777777" w:rsidR="00A41BF1" w:rsidRDefault="00A41BF1" w:rsidP="007613FD">
      <w:pPr>
        <w:jc w:val="both"/>
      </w:pPr>
    </w:p>
    <w:p w14:paraId="673F46EF" w14:textId="34E64CA3" w:rsidR="00A41BF1" w:rsidRDefault="007D7D5B" w:rsidP="007613FD">
      <w:pPr>
        <w:ind w:firstLine="708"/>
        <w:jc w:val="both"/>
      </w:pPr>
      <w:r>
        <w:t>Pozicije prihoda i primitaka kao i rashoda i izdataka Proračuna Grada Karlovca za 20</w:t>
      </w:r>
      <w:r w:rsidR="00FE3A0E">
        <w:t>2</w:t>
      </w:r>
      <w:r w:rsidR="004A7432">
        <w:t>4</w:t>
      </w:r>
      <w:r>
        <w:t xml:space="preserve">. godinu planirane su po izvorima financiranja, </w:t>
      </w:r>
      <w:r w:rsidR="004A7432">
        <w:t>sukladno</w:t>
      </w:r>
      <w:r>
        <w:t xml:space="preserve"> Pravilniku o proračunskim klasifikacijama (Narodne novine</w:t>
      </w:r>
      <w:r w:rsidR="009E0DC7">
        <w:t xml:space="preserve">, </w:t>
      </w:r>
      <w:r>
        <w:t>broj 26/</w:t>
      </w:r>
      <w:r w:rsidR="004A7432">
        <w:t>10</w:t>
      </w:r>
      <w:r w:rsidR="00D438B0">
        <w:t xml:space="preserve">, </w:t>
      </w:r>
      <w:r>
        <w:t>120/13</w:t>
      </w:r>
      <w:r w:rsidR="00D438B0">
        <w:t xml:space="preserve"> i 1/20</w:t>
      </w:r>
      <w:r>
        <w:t>). Izvore financiranja čine skupine prihoda i primitaka iz kojih se podmiruju rashodi i izdaci određene vrste i utvrđene namjene. Izvori financiranja planirani u Proračunu Grada Karlovca za 20</w:t>
      </w:r>
      <w:r w:rsidR="00FE3A0E">
        <w:t>2</w:t>
      </w:r>
      <w:r w:rsidR="004A7432">
        <w:t>4</w:t>
      </w:r>
      <w:r>
        <w:t>. godinu jesu:</w:t>
      </w:r>
    </w:p>
    <w:p w14:paraId="01911FDC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opći prihodi i primici</w:t>
      </w:r>
    </w:p>
    <w:p w14:paraId="377FF704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lastRenderedPageBreak/>
        <w:t>vlastiti prihodi</w:t>
      </w:r>
    </w:p>
    <w:p w14:paraId="433421DB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prihodi za posebne namjene</w:t>
      </w:r>
    </w:p>
    <w:p w14:paraId="4203A5DA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pomoći</w:t>
      </w:r>
    </w:p>
    <w:p w14:paraId="20FE6720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donacije</w:t>
      </w:r>
    </w:p>
    <w:p w14:paraId="5AC702AD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prihodi od prodaje ili zamjene nefinancijske imovine</w:t>
      </w:r>
    </w:p>
    <w:p w14:paraId="1FBE8EB3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namjenski primici</w:t>
      </w:r>
    </w:p>
    <w:p w14:paraId="6C75396C" w14:textId="77777777" w:rsidR="00A41BF1" w:rsidRDefault="007D7D5B" w:rsidP="007613FD">
      <w:pPr>
        <w:numPr>
          <w:ilvl w:val="0"/>
          <w:numId w:val="5"/>
        </w:numPr>
        <w:ind w:hanging="360"/>
        <w:jc w:val="both"/>
      </w:pPr>
      <w:r>
        <w:t>višak prihoda iz prethodne godine.</w:t>
      </w:r>
    </w:p>
    <w:p w14:paraId="6828E09D" w14:textId="77777777" w:rsidR="00A41BF1" w:rsidRDefault="00A41BF1" w:rsidP="007613FD">
      <w:pPr>
        <w:ind w:left="708"/>
        <w:jc w:val="both"/>
      </w:pPr>
    </w:p>
    <w:p w14:paraId="033DD4F6" w14:textId="70340EEB" w:rsidR="00A41BF1" w:rsidRDefault="007D7D5B" w:rsidP="007613FD">
      <w:pPr>
        <w:ind w:firstLine="708"/>
        <w:jc w:val="both"/>
        <w:rPr>
          <w:color w:val="FF0000"/>
        </w:rPr>
      </w:pPr>
      <w:r>
        <w:rPr>
          <w:b/>
        </w:rPr>
        <w:t xml:space="preserve">Opći prihodi i primici </w:t>
      </w:r>
      <w:r>
        <w:t>uključuju prihode po posebnim propisima za koje nije definirana namjena korištenja, a to su: prihodi od poreza, prihodi od imovine, prihodi od administrativnih (upravnih) pristojbi, prihodi od kazni, te primici od financijske imovine za koje nije definirana namjena korištenja. U 20</w:t>
      </w:r>
      <w:r w:rsidR="00FE3A0E">
        <w:t>2</w:t>
      </w:r>
      <w:r w:rsidR="00262E93">
        <w:t>4</w:t>
      </w:r>
      <w:r>
        <w:t xml:space="preserve">. godini planirani su opći prihodi i primici u iznosu od </w:t>
      </w:r>
      <w:r w:rsidR="00262E93">
        <w:t>27.199.535</w:t>
      </w:r>
      <w:r>
        <w:t xml:space="preserve"> </w:t>
      </w:r>
      <w:r w:rsidR="00994C7A">
        <w:t>eura</w:t>
      </w:r>
      <w:r w:rsidR="00DE3C07">
        <w:t xml:space="preserve">, a u strukturi ukupno planiranih rashoda i izdataka sudjeluju s </w:t>
      </w:r>
      <w:r w:rsidR="00FA786C">
        <w:t>2</w:t>
      </w:r>
      <w:r w:rsidR="00262E93">
        <w:t>8,56</w:t>
      </w:r>
      <w:r w:rsidR="00DE3C07">
        <w:t xml:space="preserve">%. </w:t>
      </w:r>
    </w:p>
    <w:p w14:paraId="761F8062" w14:textId="77777777" w:rsidR="00A41BF1" w:rsidRDefault="00A41BF1" w:rsidP="007613FD">
      <w:pPr>
        <w:jc w:val="both"/>
      </w:pPr>
    </w:p>
    <w:p w14:paraId="318D3773" w14:textId="7CAACF50" w:rsidR="00A41BF1" w:rsidRDefault="007D7D5B" w:rsidP="007613FD">
      <w:pPr>
        <w:ind w:firstLine="708"/>
        <w:jc w:val="both"/>
      </w:pPr>
      <w:r>
        <w:rPr>
          <w:b/>
        </w:rPr>
        <w:t xml:space="preserve">Vlastiti prihodi </w:t>
      </w:r>
      <w:r>
        <w:t xml:space="preserve">su prihodi koje proračunski korisnik ostvari obavljanjem poslova na tržištu i u tržišnim uvjetima, a koje poslove mogu obavljati i drugi pravni subjekti izvan općeg proračuna </w:t>
      </w:r>
      <w:r w:rsidR="002B5A52">
        <w:t xml:space="preserve">poput </w:t>
      </w:r>
      <w:r>
        <w:t>iznajmljivanj</w:t>
      </w:r>
      <w:r w:rsidR="002B5A52">
        <w:t>a</w:t>
      </w:r>
      <w:r>
        <w:t xml:space="preserve"> prostora, obavljanj</w:t>
      </w:r>
      <w:r w:rsidR="002B5A52">
        <w:t>a</w:t>
      </w:r>
      <w:r>
        <w:t xml:space="preserve"> ugostiteljskih usluga</w:t>
      </w:r>
      <w:r w:rsidR="003A7E85">
        <w:t xml:space="preserve"> i sl.</w:t>
      </w:r>
      <w:r>
        <w:t xml:space="preserve">, a njihov plan za </w:t>
      </w:r>
      <w:r w:rsidR="00FA786C">
        <w:t>202</w:t>
      </w:r>
      <w:r w:rsidR="00262E93">
        <w:t>4</w:t>
      </w:r>
      <w:r>
        <w:t xml:space="preserve">. godinu iznosi </w:t>
      </w:r>
      <w:r w:rsidR="00262E93">
        <w:t>607.705</w:t>
      </w:r>
      <w:r>
        <w:t xml:space="preserve"> </w:t>
      </w:r>
      <w:r w:rsidR="00994C7A">
        <w:t>eura</w:t>
      </w:r>
      <w:r>
        <w:t xml:space="preserve">. </w:t>
      </w:r>
    </w:p>
    <w:p w14:paraId="11950D53" w14:textId="77777777" w:rsidR="00A41BF1" w:rsidRDefault="00A41BF1" w:rsidP="007613FD">
      <w:pPr>
        <w:jc w:val="both"/>
      </w:pPr>
    </w:p>
    <w:p w14:paraId="38EB0BBD" w14:textId="46F26516" w:rsidR="00A41BF1" w:rsidRDefault="007D7D5B" w:rsidP="00BC3B10">
      <w:pPr>
        <w:ind w:firstLine="708"/>
        <w:jc w:val="both"/>
      </w:pPr>
      <w:r>
        <w:rPr>
          <w:b/>
        </w:rPr>
        <w:t>Prihodi za posebne namjene</w:t>
      </w:r>
      <w:r>
        <w:t xml:space="preserve"> uključuju prihode čija se namjena i korištenje utvrđuje posebnim zakonima i propisima a to su: komunalna naknada, komunalni doprinos, spomenička renta, doprinos za šume, naknada za koncesije, naknada za zbrinjavanje komunalnog otpada, vodni doprinos, prihodi od zakupa </w:t>
      </w:r>
      <w:r w:rsidR="00680ABE">
        <w:t xml:space="preserve">i prodaje </w:t>
      </w:r>
      <w:r>
        <w:t>poljoprivrednog zemljišta u vlasništvu države i naknada za zadržavanje nezakonito izgrađenih zgrada u prostoru, te prihodi za posebne namjene proračunskih korisnika. U 20</w:t>
      </w:r>
      <w:r w:rsidR="00163D97">
        <w:t>2</w:t>
      </w:r>
      <w:r w:rsidR="00262E93">
        <w:t>4</w:t>
      </w:r>
      <w:r>
        <w:t xml:space="preserve">. godini planirani su u iznosu od </w:t>
      </w:r>
      <w:r w:rsidR="00262E93">
        <w:t>10.997.950</w:t>
      </w:r>
      <w:r>
        <w:t xml:space="preserve"> </w:t>
      </w:r>
      <w:r w:rsidR="00994C7A">
        <w:t>eura</w:t>
      </w:r>
      <w:r w:rsidR="00E74EE9">
        <w:t xml:space="preserve"> </w:t>
      </w:r>
      <w:r w:rsidR="00E74EE9" w:rsidRPr="00D12CDA">
        <w:t xml:space="preserve">i veći su za </w:t>
      </w:r>
      <w:r w:rsidR="009327F6">
        <w:t>0</w:t>
      </w:r>
      <w:r w:rsidR="00CB5FBF" w:rsidRPr="00D12CDA">
        <w:t>,</w:t>
      </w:r>
      <w:r w:rsidR="009327F6">
        <w:t>5</w:t>
      </w:r>
      <w:r w:rsidR="009C502B" w:rsidRPr="00D12CDA">
        <w:t xml:space="preserve"> </w:t>
      </w:r>
      <w:r w:rsidR="00154C24" w:rsidRPr="00D12CDA">
        <w:t>mil.</w:t>
      </w:r>
      <w:r w:rsidR="00607932">
        <w:t xml:space="preserve"> </w:t>
      </w:r>
      <w:r w:rsidR="00994C7A" w:rsidRPr="00D12CDA">
        <w:t>eura</w:t>
      </w:r>
      <w:r w:rsidR="00154C24" w:rsidRPr="00D12CDA">
        <w:t xml:space="preserve"> u odnosu na </w:t>
      </w:r>
      <w:r w:rsidR="00BC3B10" w:rsidRPr="00D12CDA">
        <w:t xml:space="preserve">planirano </w:t>
      </w:r>
      <w:r w:rsidR="009327F6">
        <w:t>D</w:t>
      </w:r>
      <w:r w:rsidR="00BC3B10" w:rsidRPr="00D12CDA">
        <w:t xml:space="preserve">rugim </w:t>
      </w:r>
      <w:r w:rsidR="00607932">
        <w:t>i</w:t>
      </w:r>
      <w:r w:rsidR="00BC3B10" w:rsidRPr="00D12CDA">
        <w:t>zmjenama i dopunama plana za 202</w:t>
      </w:r>
      <w:r w:rsidR="009327F6">
        <w:t>3</w:t>
      </w:r>
      <w:r w:rsidR="00BC3B10" w:rsidRPr="00D12CDA">
        <w:t>.</w:t>
      </w:r>
      <w:r w:rsidR="009327F6">
        <w:t xml:space="preserve"> </w:t>
      </w:r>
      <w:r w:rsidR="00BC3B10" w:rsidRPr="00D12CDA">
        <w:t>godinu.</w:t>
      </w:r>
    </w:p>
    <w:p w14:paraId="5A2E4153" w14:textId="77777777" w:rsidR="005E2BB4" w:rsidRDefault="005E2BB4" w:rsidP="00BC3B10">
      <w:pPr>
        <w:ind w:firstLine="708"/>
        <w:jc w:val="both"/>
      </w:pPr>
    </w:p>
    <w:p w14:paraId="03D16D75" w14:textId="56281AA3" w:rsidR="00A41BF1" w:rsidRPr="00823DD6" w:rsidRDefault="007D7D5B" w:rsidP="007613FD">
      <w:pPr>
        <w:ind w:firstLine="708"/>
        <w:jc w:val="both"/>
        <w:rPr>
          <w:color w:val="FF0000"/>
        </w:rPr>
      </w:pPr>
      <w:r>
        <w:rPr>
          <w:b/>
        </w:rPr>
        <w:t xml:space="preserve">Pomoći </w:t>
      </w:r>
      <w:r>
        <w:t>uključuju prihode koji se ostvaruju od inozemnih vlada, međunarodnih organizacija, drugih proračuna, ostalih subjekata unutar općeg proračuna i izvanproračunskih korisnika, a za 20</w:t>
      </w:r>
      <w:r w:rsidR="00163D97">
        <w:t>2</w:t>
      </w:r>
      <w:r w:rsidR="00D01AA4">
        <w:t>4</w:t>
      </w:r>
      <w:r>
        <w:t xml:space="preserve">. godinu planirani su u iznosu od </w:t>
      </w:r>
      <w:r w:rsidR="00D01AA4">
        <w:t>41.613.472</w:t>
      </w:r>
      <w:r>
        <w:t xml:space="preserve"> </w:t>
      </w:r>
      <w:r w:rsidR="00994C7A">
        <w:t>eura</w:t>
      </w:r>
      <w:r w:rsidR="00D01AA4">
        <w:t xml:space="preserve">. </w:t>
      </w:r>
      <w:r w:rsidR="0094616F" w:rsidRPr="00D12CDA">
        <w:t xml:space="preserve">Ova skupina izvora financiranja </w:t>
      </w:r>
      <w:r w:rsidR="00D01AA4">
        <w:t>veća</w:t>
      </w:r>
      <w:r w:rsidR="0094616F" w:rsidRPr="00D12CDA">
        <w:t xml:space="preserve"> je za </w:t>
      </w:r>
      <w:r w:rsidR="00D01AA4">
        <w:t>6</w:t>
      </w:r>
      <w:r w:rsidR="00794002" w:rsidRPr="00D12CDA">
        <w:t>,</w:t>
      </w:r>
      <w:r w:rsidR="00D01AA4">
        <w:t>7</w:t>
      </w:r>
      <w:r w:rsidR="0094616F" w:rsidRPr="00D12CDA">
        <w:t xml:space="preserve"> mil.</w:t>
      </w:r>
      <w:r w:rsidR="00994C7A" w:rsidRPr="00D12CDA">
        <w:t>eura</w:t>
      </w:r>
      <w:r w:rsidR="0094616F" w:rsidRPr="00D12CDA">
        <w:t xml:space="preserve"> u odnosu na </w:t>
      </w:r>
      <w:r w:rsidR="00D12CDA">
        <w:t xml:space="preserve">planirano </w:t>
      </w:r>
      <w:r w:rsidR="00D01AA4">
        <w:t>D</w:t>
      </w:r>
      <w:r w:rsidR="00D12CDA">
        <w:t xml:space="preserve">rugim </w:t>
      </w:r>
      <w:r w:rsidR="00D01AA4">
        <w:t>i</w:t>
      </w:r>
      <w:r w:rsidR="00D12CDA">
        <w:t xml:space="preserve">zmjenama i dopunama </w:t>
      </w:r>
      <w:r w:rsidR="00903F79">
        <w:t>p</w:t>
      </w:r>
      <w:r w:rsidR="00D12CDA">
        <w:t xml:space="preserve">lana za </w:t>
      </w:r>
      <w:r w:rsidR="0094616F" w:rsidRPr="00D12CDA">
        <w:t>202</w:t>
      </w:r>
      <w:r w:rsidR="00D01AA4">
        <w:t>3</w:t>
      </w:r>
      <w:r w:rsidR="0094616F" w:rsidRPr="00D12CDA">
        <w:t>.</w:t>
      </w:r>
      <w:r w:rsidR="00794002" w:rsidRPr="00D12CDA">
        <w:t xml:space="preserve"> </w:t>
      </w:r>
      <w:r w:rsidR="0094616F" w:rsidRPr="00D12CDA">
        <w:t>godinu.</w:t>
      </w:r>
    </w:p>
    <w:p w14:paraId="1DDA5DF7" w14:textId="77777777" w:rsidR="00E74EE9" w:rsidRDefault="00E74EE9" w:rsidP="007613FD">
      <w:pPr>
        <w:ind w:firstLine="708"/>
        <w:jc w:val="both"/>
      </w:pPr>
    </w:p>
    <w:p w14:paraId="1460DF66" w14:textId="2D635E63" w:rsidR="00A41BF1" w:rsidRDefault="007D7D5B" w:rsidP="007613FD">
      <w:pPr>
        <w:ind w:firstLine="708"/>
        <w:jc w:val="both"/>
      </w:pPr>
      <w:r>
        <w:rPr>
          <w:b/>
        </w:rPr>
        <w:t>Donacije</w:t>
      </w:r>
      <w:r>
        <w:t xml:space="preserve"> uključuju prihode koji se ostvaruju od fizičkih osoba, neprofitnih organizacija, trgovačkih društava i ostalih subjekata </w:t>
      </w:r>
      <w:r w:rsidR="00A55558">
        <w:t>izvan</w:t>
      </w:r>
      <w:r>
        <w:t xml:space="preserve"> općeg proračuna. U 2</w:t>
      </w:r>
      <w:r w:rsidR="00163D97">
        <w:t>02</w:t>
      </w:r>
      <w:r w:rsidR="00D01AA4">
        <w:t>4</w:t>
      </w:r>
      <w:r>
        <w:t xml:space="preserve">. godini ukupno je planirano </w:t>
      </w:r>
      <w:r w:rsidR="00D01AA4">
        <w:t>107.584</w:t>
      </w:r>
      <w:r>
        <w:t xml:space="preserve"> </w:t>
      </w:r>
      <w:r w:rsidR="00994C7A">
        <w:t>eura</w:t>
      </w:r>
      <w:r w:rsidR="00163D97">
        <w:t xml:space="preserve"> od donacija. </w:t>
      </w:r>
    </w:p>
    <w:p w14:paraId="636700E1" w14:textId="77777777" w:rsidR="00A41BF1" w:rsidRDefault="00A41BF1" w:rsidP="007613FD">
      <w:pPr>
        <w:jc w:val="both"/>
      </w:pPr>
    </w:p>
    <w:p w14:paraId="019993C1" w14:textId="07A85465" w:rsidR="00A41BF1" w:rsidRDefault="007D7D5B" w:rsidP="007613FD">
      <w:pPr>
        <w:ind w:firstLine="708"/>
        <w:jc w:val="both"/>
      </w:pPr>
      <w:r>
        <w:t>Izvor financiranja</w:t>
      </w:r>
      <w:r>
        <w:rPr>
          <w:b/>
        </w:rPr>
        <w:t xml:space="preserve"> prihodi od prodaje ili zamjene nefinancijske imovine </w:t>
      </w:r>
      <w:r>
        <w:t>čine prihode ostvarene prodajom ili zamjenom nefinancijske imovine i od naknad</w:t>
      </w:r>
      <w:r w:rsidR="00680ABE">
        <w:t>a</w:t>
      </w:r>
      <w:r>
        <w:t xml:space="preserve"> štete s osnove osiguranja, a mogu se koristiti samo za kapitalne rashode,</w:t>
      </w:r>
      <w:r w:rsidR="00163D97">
        <w:t xml:space="preserve"> </w:t>
      </w:r>
      <w:r>
        <w:t>u 20</w:t>
      </w:r>
      <w:r w:rsidR="00163D97">
        <w:t>2</w:t>
      </w:r>
      <w:r w:rsidR="00D01AA4">
        <w:t>4</w:t>
      </w:r>
      <w:r>
        <w:t xml:space="preserve">. godini planirani su u iznosu od </w:t>
      </w:r>
      <w:r w:rsidR="00D01AA4">
        <w:t>313.665</w:t>
      </w:r>
      <w:r>
        <w:t xml:space="preserve"> </w:t>
      </w:r>
      <w:r w:rsidR="00994C7A" w:rsidRPr="00D12CDA">
        <w:t>eura</w:t>
      </w:r>
      <w:r w:rsidR="00B441D0">
        <w:t>,</w:t>
      </w:r>
      <w:r w:rsidR="00163D97" w:rsidRPr="00D12CDA">
        <w:t xml:space="preserve"> što je za </w:t>
      </w:r>
      <w:r w:rsidR="00D01AA4">
        <w:t>samo 31.543 eura</w:t>
      </w:r>
      <w:r w:rsidR="00163D97" w:rsidRPr="00D12CDA">
        <w:t xml:space="preserve"> </w:t>
      </w:r>
      <w:r w:rsidR="00BE4C59" w:rsidRPr="00D12CDA">
        <w:t>manje</w:t>
      </w:r>
      <w:r w:rsidR="00163D97" w:rsidRPr="00D12CDA">
        <w:t xml:space="preserve"> u odnosu na plan</w:t>
      </w:r>
      <w:r w:rsidR="00BE4C59" w:rsidRPr="00D12CDA">
        <w:t>irano</w:t>
      </w:r>
      <w:r w:rsidR="00D01AA4">
        <w:t xml:space="preserve"> Drugim</w:t>
      </w:r>
      <w:r w:rsidR="00BE4C59" w:rsidRPr="00D12CDA">
        <w:t xml:space="preserve"> </w:t>
      </w:r>
      <w:r w:rsidR="00D01AA4">
        <w:t>i</w:t>
      </w:r>
      <w:r w:rsidR="00BE4C59" w:rsidRPr="00D12CDA">
        <w:t>zmjenama i dopunama Proračuna Grada Karlovca za 202</w:t>
      </w:r>
      <w:r w:rsidR="00D01AA4">
        <w:t>3</w:t>
      </w:r>
      <w:r w:rsidR="00163D97" w:rsidRPr="00D12CDA">
        <w:t>. godin</w:t>
      </w:r>
      <w:r w:rsidR="00BE4C59" w:rsidRPr="00D12CDA">
        <w:t>u</w:t>
      </w:r>
      <w:r w:rsidR="00163D97" w:rsidRPr="00D12CDA">
        <w:t>.</w:t>
      </w:r>
    </w:p>
    <w:p w14:paraId="7BC608AF" w14:textId="77777777" w:rsidR="00A41BF1" w:rsidRDefault="00A41BF1" w:rsidP="007613FD">
      <w:pPr>
        <w:jc w:val="both"/>
      </w:pPr>
    </w:p>
    <w:p w14:paraId="77481CE8" w14:textId="5A4605C7" w:rsidR="00A41BF1" w:rsidRPr="00704C11" w:rsidRDefault="007D7D5B" w:rsidP="007613FD">
      <w:pPr>
        <w:ind w:firstLine="708"/>
        <w:jc w:val="both"/>
      </w:pPr>
      <w:r>
        <w:rPr>
          <w:b/>
        </w:rPr>
        <w:t>Namjenski primici</w:t>
      </w:r>
      <w:r>
        <w:t xml:space="preserve"> planirani su za 20</w:t>
      </w:r>
      <w:r w:rsidR="00163D97">
        <w:t>2</w:t>
      </w:r>
      <w:r w:rsidR="00D01AA4">
        <w:t>4</w:t>
      </w:r>
      <w:r>
        <w:t xml:space="preserve">. godinu u iznosu od </w:t>
      </w:r>
      <w:r w:rsidR="00D01AA4">
        <w:t>9.572.585</w:t>
      </w:r>
      <w:r w:rsidR="009258E1">
        <w:t xml:space="preserve"> </w:t>
      </w:r>
      <w:r w:rsidR="00994C7A">
        <w:t>eura</w:t>
      </w:r>
      <w:r>
        <w:t>, a odnose se na primitke od zaduživanja koje će Grad Karlovac ostvariti za projekte od značenja za razvoj Grada o kojima je bila riječ u obra</w:t>
      </w:r>
      <w:r w:rsidR="00163D97">
        <w:t>z</w:t>
      </w:r>
      <w:r>
        <w:t>loženju općeg dijela Proračuna</w:t>
      </w:r>
      <w:r w:rsidRPr="00704C11">
        <w:t xml:space="preserve">. </w:t>
      </w:r>
      <w:r w:rsidR="009B1394" w:rsidRPr="00704C11">
        <w:t xml:space="preserve">U odnosu na </w:t>
      </w:r>
      <w:r w:rsidR="00D01AA4">
        <w:t>D</w:t>
      </w:r>
      <w:r w:rsidR="00704C11" w:rsidRPr="00704C11">
        <w:t xml:space="preserve">ruge </w:t>
      </w:r>
      <w:r w:rsidR="00D01AA4">
        <w:t>i</w:t>
      </w:r>
      <w:r w:rsidR="00704C11" w:rsidRPr="00704C11">
        <w:t>zmjene i dopune Proračuna za</w:t>
      </w:r>
      <w:r w:rsidR="00D5582E" w:rsidRPr="00704C11">
        <w:t xml:space="preserve"> </w:t>
      </w:r>
      <w:r w:rsidR="009B1394" w:rsidRPr="00704C11">
        <w:t>202</w:t>
      </w:r>
      <w:r w:rsidR="00D01AA4">
        <w:t>3</w:t>
      </w:r>
      <w:r w:rsidR="009B1394" w:rsidRPr="00704C11">
        <w:t xml:space="preserve">. godinu veći su za </w:t>
      </w:r>
      <w:r w:rsidR="00D01AA4">
        <w:t>5</w:t>
      </w:r>
      <w:r w:rsidR="00A96E1D" w:rsidRPr="00704C11">
        <w:t>,</w:t>
      </w:r>
      <w:r w:rsidR="00D01AA4">
        <w:t>1</w:t>
      </w:r>
      <w:r w:rsidR="009B1394" w:rsidRPr="00704C11">
        <w:t xml:space="preserve"> mil.</w:t>
      </w:r>
      <w:r w:rsidR="001443B8" w:rsidRPr="00704C11">
        <w:t xml:space="preserve"> </w:t>
      </w:r>
      <w:r w:rsidR="00994C7A" w:rsidRPr="00704C11">
        <w:t>eura</w:t>
      </w:r>
      <w:r w:rsidR="009B1394" w:rsidRPr="00704C11">
        <w:t xml:space="preserve">. </w:t>
      </w:r>
    </w:p>
    <w:p w14:paraId="6D6183E1" w14:textId="77777777" w:rsidR="004A65F8" w:rsidRDefault="004A65F8" w:rsidP="004A65F8">
      <w:pPr>
        <w:jc w:val="both"/>
      </w:pPr>
    </w:p>
    <w:p w14:paraId="274E38F9" w14:textId="0C90460E" w:rsidR="00B724AC" w:rsidRPr="002B4BCD" w:rsidRDefault="00F96C54" w:rsidP="007613FD">
      <w:pPr>
        <w:jc w:val="both"/>
      </w:pPr>
      <w:r>
        <w:t xml:space="preserve">         </w:t>
      </w:r>
      <w:r w:rsidR="004A65F8">
        <w:t>Prene</w:t>
      </w:r>
      <w:r>
        <w:t xml:space="preserve">seni </w:t>
      </w:r>
      <w:r w:rsidR="004A65F8" w:rsidRPr="00F96C54">
        <w:rPr>
          <w:b/>
          <w:bCs/>
        </w:rPr>
        <w:t>višak prihoda</w:t>
      </w:r>
      <w:r w:rsidR="004A65F8" w:rsidRPr="00F96C54">
        <w:t xml:space="preserve"> </w:t>
      </w:r>
      <w:r w:rsidR="004A65F8">
        <w:t>iz 202</w:t>
      </w:r>
      <w:r w:rsidR="006830E7">
        <w:t>3</w:t>
      </w:r>
      <w:r w:rsidR="004A65F8">
        <w:t xml:space="preserve">. godine </w:t>
      </w:r>
      <w:r>
        <w:t xml:space="preserve">iznosi </w:t>
      </w:r>
      <w:r w:rsidR="006830E7" w:rsidRPr="006830E7">
        <w:t xml:space="preserve">4.836.814 </w:t>
      </w:r>
      <w:r w:rsidR="00994C7A">
        <w:t>eura</w:t>
      </w:r>
      <w:r w:rsidR="004A65F8">
        <w:t xml:space="preserve"> od čega</w:t>
      </w:r>
      <w:r>
        <w:t xml:space="preserve"> </w:t>
      </w:r>
      <w:r w:rsidR="004A65F8">
        <w:t xml:space="preserve">višak proračunskih korisnika iznosi </w:t>
      </w:r>
      <w:r w:rsidR="006830E7">
        <w:t>172.741</w:t>
      </w:r>
      <w:r w:rsidR="004A65F8">
        <w:t xml:space="preserve"> </w:t>
      </w:r>
      <w:r w:rsidR="00994C7A">
        <w:t>eura</w:t>
      </w:r>
      <w:r w:rsidR="004A65F8">
        <w:t xml:space="preserve"> i odnosi se na prijenos namjenskih prihoda za koje se procjenjuje da neće biti utrošeni do kraja godine</w:t>
      </w:r>
      <w:r>
        <w:t xml:space="preserve">. </w:t>
      </w:r>
      <w:r w:rsidR="004A65F8">
        <w:t xml:space="preserve">Preneseni viškovi Grada iznose </w:t>
      </w:r>
      <w:r w:rsidR="006830E7">
        <w:t>4</w:t>
      </w:r>
      <w:r w:rsidR="00A22AD6">
        <w:t>,</w:t>
      </w:r>
      <w:r w:rsidR="006830E7">
        <w:t>7</w:t>
      </w:r>
      <w:r w:rsidR="004A65F8">
        <w:t xml:space="preserve"> mil. </w:t>
      </w:r>
      <w:r w:rsidR="00994C7A">
        <w:t>eura</w:t>
      </w:r>
      <w:r w:rsidR="004A65F8">
        <w:t xml:space="preserve"> i odnose se najvećim dijelom na sredstva namijenjena izgradnji komunalne infrastrukture </w:t>
      </w:r>
      <w:r w:rsidR="004A65F8">
        <w:lastRenderedPageBreak/>
        <w:t xml:space="preserve">u sklopu </w:t>
      </w:r>
      <w:r w:rsidR="004A65F8">
        <w:rPr>
          <w:shd w:val="clear" w:color="auto" w:fill="FFFFFF"/>
        </w:rPr>
        <w:t>projekta Karlovac II</w:t>
      </w:r>
      <w:r w:rsidR="00C62BAE">
        <w:rPr>
          <w:shd w:val="clear" w:color="auto" w:fill="FFFFFF"/>
        </w:rPr>
        <w:t xml:space="preserve"> </w:t>
      </w:r>
      <w:r w:rsidR="008C5D5B">
        <w:rPr>
          <w:shd w:val="clear" w:color="auto" w:fill="FFFFFF"/>
        </w:rPr>
        <w:t xml:space="preserve">kao i na troškove otkupa zemljišta za projekte građenja komunalne infrastrukture. </w:t>
      </w:r>
    </w:p>
    <w:p w14:paraId="175C8485" w14:textId="77777777" w:rsidR="009B1394" w:rsidRDefault="009B1394" w:rsidP="007613FD">
      <w:pPr>
        <w:jc w:val="both"/>
        <w:rPr>
          <w:b/>
        </w:rPr>
      </w:pPr>
    </w:p>
    <w:p w14:paraId="56B9C662" w14:textId="0C69E81C" w:rsidR="00A41BF1" w:rsidRDefault="007D7D5B" w:rsidP="007613FD">
      <w:pPr>
        <w:jc w:val="both"/>
        <w:rPr>
          <w:b/>
        </w:rPr>
      </w:pPr>
      <w:r w:rsidRPr="00DB7F49">
        <w:rPr>
          <w:b/>
        </w:rPr>
        <w:t xml:space="preserve">Tablica </w:t>
      </w:r>
      <w:r w:rsidR="00EA0373">
        <w:rPr>
          <w:b/>
        </w:rPr>
        <w:t>7</w:t>
      </w:r>
      <w:r w:rsidRPr="00DB7F49">
        <w:rPr>
          <w:b/>
        </w:rPr>
        <w:t>. Prikaz planiranih rashoda i izdataka za 202</w:t>
      </w:r>
      <w:r w:rsidR="006830E7">
        <w:rPr>
          <w:b/>
        </w:rPr>
        <w:t>4</w:t>
      </w:r>
      <w:r w:rsidRPr="00DB7F49">
        <w:rPr>
          <w:b/>
        </w:rPr>
        <w:t>. godinu po izvorima financiranja</w:t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5782"/>
        <w:gridCol w:w="266"/>
        <w:gridCol w:w="1460"/>
        <w:gridCol w:w="1600"/>
      </w:tblGrid>
      <w:tr w:rsidR="00C64CD1" w14:paraId="35221441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CB54" w14:textId="77777777" w:rsidR="00C64CD1" w:rsidRDefault="00C64C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2312" w14:textId="77777777" w:rsidR="00C64CD1" w:rsidRDefault="00C64C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1CF1" w14:textId="77777777" w:rsidR="00C64CD1" w:rsidRDefault="00C64C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STRUKTURA %</w:t>
            </w:r>
          </w:p>
        </w:tc>
      </w:tr>
      <w:tr w:rsidR="00C64CD1" w14:paraId="01095EAD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6FDF1F" w14:textId="77777777" w:rsidR="00C64CD1" w:rsidRDefault="00C64CD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UKUPNO RASHODI / IZDACI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CF9C7A" w14:textId="77777777" w:rsidR="00C64CD1" w:rsidRDefault="00C64CD1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95.249.310,00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B2C3AB" w14:textId="77777777" w:rsidR="00C64CD1" w:rsidRDefault="00C64CD1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C64CD1" w14:paraId="20F42246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81C75F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1. OPĆI PRIHODI 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CA6E05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27.199.535,00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B60FA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28,56</w:t>
            </w:r>
          </w:p>
        </w:tc>
      </w:tr>
      <w:tr w:rsidR="00C64CD1" w14:paraId="104280D4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DE5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1.1. Opći prihodi i primici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1B8E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27.199.535,00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FF8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28,56</w:t>
            </w:r>
          </w:p>
        </w:tc>
      </w:tr>
      <w:tr w:rsidR="00C64CD1" w14:paraId="4CC09D87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4EF6C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3. VLASTITI PRIHODI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1FB17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607.705,00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BAA10A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</w:t>
            </w:r>
          </w:p>
        </w:tc>
      </w:tr>
      <w:tr w:rsidR="00C64CD1" w14:paraId="549FB28E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13EC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3.1. Ostali vlastiti prihodi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00F9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607.705,00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229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</w:t>
            </w:r>
          </w:p>
        </w:tc>
      </w:tr>
      <w:tr w:rsidR="00C64CD1" w14:paraId="6C11CEF5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91CC4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 PRIHODI ZA POSEBNE NAMJENE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5584D9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10.997.950,00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D64B41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11,55</w:t>
            </w:r>
          </w:p>
        </w:tc>
      </w:tr>
      <w:tr w:rsidR="00C64CD1" w14:paraId="3665D947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7EC0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4.1. 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350A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6.250.000,00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755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6,56</w:t>
            </w:r>
          </w:p>
        </w:tc>
      </w:tr>
      <w:tr w:rsidR="00C64CD1" w14:paraId="1F3F8CEF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870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4.2. 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F41D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C717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</w:t>
            </w:r>
          </w:p>
        </w:tc>
      </w:tr>
      <w:tr w:rsidR="00C64CD1" w14:paraId="5C409AF7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C8D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4.3. Spomenička renta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21D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53CC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0,10</w:t>
            </w:r>
          </w:p>
        </w:tc>
      </w:tr>
      <w:tr w:rsidR="00C64CD1" w14:paraId="51461091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D81D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4.4. Doprinos za šume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96F7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80A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0,10</w:t>
            </w:r>
          </w:p>
        </w:tc>
      </w:tr>
      <w:tr w:rsidR="00C64CD1" w14:paraId="278BE406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B1D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4.5. Naknada za koncesije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E23F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2E4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C64CD1" w14:paraId="3D8E9978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2F0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4.6. Naknada za zbrinjavanje komunalnog otpada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2F9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6BA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C64CD1" w14:paraId="7136DA59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59A7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4.7. Prihodi za posebne namjene - prihodi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2F7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3.458.705,00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6985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3,63</w:t>
            </w:r>
          </w:p>
        </w:tc>
      </w:tr>
      <w:tr w:rsidR="00C64CD1" w14:paraId="0F2A44A1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9AA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4.9. Prihodi za posebne namjene - ostalo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76CC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A5C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C64CD1" w14:paraId="5C971B7B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9B8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4.A. Prihodi od nefinancijske imovine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21C0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0E5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64CD1" w14:paraId="26EF7A90" w14:textId="77777777" w:rsidTr="00C64CD1">
        <w:trPr>
          <w:trHeight w:val="402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0612CE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 POMOĆI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C298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0E3F8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41.613.472,00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6A472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43,69</w:t>
            </w:r>
          </w:p>
        </w:tc>
      </w:tr>
      <w:tr w:rsidR="00C64CD1" w14:paraId="676C06F5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B549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5.1. Pomoći iz županijskog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C97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C59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0,23</w:t>
            </w:r>
          </w:p>
        </w:tc>
      </w:tr>
      <w:tr w:rsidR="00C64CD1" w14:paraId="7B3857F4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E31C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5.2. Pomoći iz državnog proračuna - ostalo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778C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1.469.232,00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F8C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C64CD1" w14:paraId="029CD5CD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33A3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5.3. Pomoći iz  FZOEU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C1C5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161.240,00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5F7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</w:tr>
      <w:tr w:rsidR="00C64CD1" w14:paraId="2BBC36C8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D0B2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5.4. Prihodi za decentralizirane funkcije - OŠ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17D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1.445.927,00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A434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1,52</w:t>
            </w:r>
          </w:p>
        </w:tc>
      </w:tr>
      <w:tr w:rsidR="00C64CD1" w14:paraId="605EDCA4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72F7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5.5. Prihodi za decentralizirane funkcije - JVP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658A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1.018.972,00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A0E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1,07</w:t>
            </w:r>
          </w:p>
        </w:tc>
      </w:tr>
      <w:tr w:rsidR="00C64CD1" w14:paraId="72DAC698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6C9A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5.7. Pomoći od ostalih subjekata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0E6F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953.270,00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A4E6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C64CD1" w14:paraId="1881DE64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BA84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5.8. Pomoći temeljem prijenosa sredstava  EU-PK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930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34.099,00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BB1C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C64CD1" w14:paraId="344F1231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652A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5.9. Pomoći  temeljem prijenosa sredstava EU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6FF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23.029.430,00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CD33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24,18</w:t>
            </w:r>
          </w:p>
        </w:tc>
      </w:tr>
      <w:tr w:rsidR="00C64CD1" w14:paraId="4D4C92BE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B498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5.A. Pomoći iz županijskog proračuna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068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72.884,00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12EA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0,08</w:t>
            </w:r>
          </w:p>
        </w:tc>
      </w:tr>
      <w:tr w:rsidR="00C64CD1" w14:paraId="3312AF17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6E8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5.B. Pomoći iz državnog proračuna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AA1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1.736.039,00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0CBE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1,82</w:t>
            </w:r>
          </w:p>
        </w:tc>
      </w:tr>
      <w:tr w:rsidR="00C64CD1" w14:paraId="6CF2823A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59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5.E. Pomoći od izvanproračunskih korisnika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F11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3E86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C64CD1" w14:paraId="1C1FF11B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C79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5.F. Pomoći iz inozemstva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AC1C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28.638,00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72F4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C64CD1" w14:paraId="1DAFA313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2F5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5.T. Pomoći iz MZO za plaće OŠ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2AE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11.435.741,00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776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12,01</w:t>
            </w:r>
          </w:p>
        </w:tc>
      </w:tr>
      <w:tr w:rsidR="00C64CD1" w14:paraId="209CA462" w14:textId="77777777" w:rsidTr="00C64CD1">
        <w:trPr>
          <w:trHeight w:val="402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0FD522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6. DONACIJE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707342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29932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107.584,00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BF46C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0,11</w:t>
            </w:r>
          </w:p>
        </w:tc>
      </w:tr>
      <w:tr w:rsidR="00C64CD1" w14:paraId="4515D286" w14:textId="77777777" w:rsidTr="00C64CD1">
        <w:trPr>
          <w:trHeight w:val="402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1294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6.0. Donacije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C7A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1D73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67.953,00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A968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</w:tr>
      <w:tr w:rsidR="00C64CD1" w14:paraId="617E2F0B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D0D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Izvor 6.5. Donacije - prihodi 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4BC6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39.631,00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D51B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C64CD1" w14:paraId="16AFC4FE" w14:textId="77777777" w:rsidTr="00C64CD1">
        <w:trPr>
          <w:trHeight w:val="495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40DFA8B7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7. PRIHODI OD PRODAJE ILI ZAMJENE 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847A6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313.665,00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19CF8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</w:tr>
      <w:tr w:rsidR="00C64CD1" w14:paraId="797E403F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127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7.1. Prihodi od prodaje zemljišta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DCD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C65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C64CD1" w14:paraId="471F1E7F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DC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7.2. Prihodi od prodaje stambenih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279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240.377,00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B17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</w:t>
            </w:r>
          </w:p>
        </w:tc>
      </w:tr>
      <w:tr w:rsidR="00C64CD1" w14:paraId="06428A32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D05F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7.3. Prihodi od prodaje poslovnih objekata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8501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75EB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C64CD1" w14:paraId="32076261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612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7.4. Prihodi od prodaje  nefinancijske imovine -PK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F4F8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13.288,00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C0F6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C64CD1" w14:paraId="3FD91363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1E0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7.6. Prihodi od prodaje zemljišta u državnom vlasništvu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48E2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DF44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C64CD1" w14:paraId="18DCE8F6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99516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8. NAMJENSKI PRIMICI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69117C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9.572.585,00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08721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10,05</w:t>
            </w:r>
          </w:p>
        </w:tc>
      </w:tr>
      <w:tr w:rsidR="00C64CD1" w14:paraId="2F9D74F2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F563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8.1. Primici od zaduživanja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D6DF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9.572.585,00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EE2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10,05</w:t>
            </w:r>
          </w:p>
        </w:tc>
      </w:tr>
      <w:tr w:rsidR="00C64CD1" w14:paraId="18B4DE37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9C30AB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 VIŠAK PRIHODA IZ PRETHODNE GODINE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3F845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4.836.814,00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585B57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5,08</w:t>
            </w:r>
          </w:p>
        </w:tc>
      </w:tr>
      <w:tr w:rsidR="00C64CD1" w14:paraId="5339D602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400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9.1. V.P. iz prethodne godine  - opći prihodi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3E8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1.698.713,00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7127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1,78</w:t>
            </w:r>
          </w:p>
        </w:tc>
      </w:tr>
      <w:tr w:rsidR="00C64CD1" w14:paraId="5275539D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F9B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9.5. V.P. iz prethodne godine  - prodaja stanova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FBE1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4E4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0,10</w:t>
            </w:r>
          </w:p>
        </w:tc>
      </w:tr>
      <w:tr w:rsidR="00C64CD1" w14:paraId="5B9F289D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7E21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9.6. V.P. iz prethodne godine  - komunalni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BEDC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1.082.134,00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D5F6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1,14</w:t>
            </w:r>
          </w:p>
        </w:tc>
      </w:tr>
      <w:tr w:rsidR="00C64CD1" w14:paraId="34ACA2C7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E9B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9.8. V.P. iz prethodne godine - šumski  doprinos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58B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176.178,00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90B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0,18</w:t>
            </w:r>
          </w:p>
        </w:tc>
      </w:tr>
      <w:tr w:rsidR="00C64CD1" w14:paraId="766B4B8D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694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9.B. V.P. iz prethodne godine  - komunalna naknada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73E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1.197.353,00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72EA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1,26</w:t>
            </w:r>
          </w:p>
        </w:tc>
      </w:tr>
      <w:tr w:rsidR="00C64CD1" w14:paraId="035C64E3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A8B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9.C. V.P. iz preth. godine  - prihodi za poseb. namjene -ostalo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5F6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271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C64CD1" w14:paraId="1765997C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5E9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9.D. V.P. iz prethodne godine  - prodaja zemljišta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404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364.695,00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9DF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</w:tr>
      <w:tr w:rsidR="00C64CD1" w14:paraId="10FC5045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E9BD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9.I. V.P. iz prehodne godine - vlastiti prih.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BA46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88.195,00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544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</w:tr>
      <w:tr w:rsidR="00C64CD1" w14:paraId="5FDACDDD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43E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9.J. V.P. iz prethodne godine - pomoći iz drž. pror.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0BCF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382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64CD1" w14:paraId="2BC3F06F" w14:textId="77777777" w:rsidTr="00C64CD1">
        <w:trPr>
          <w:trHeight w:val="402"/>
        </w:trPr>
        <w:tc>
          <w:tcPr>
            <w:tcW w:w="6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76BE" w14:textId="77777777" w:rsidR="00C64CD1" w:rsidRDefault="00C64C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Izvor 9.U. V.P. iz prethodne godine - prihodi za posebne namjene - PK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409A" w14:textId="77777777" w:rsidR="00C64CD1" w:rsidRDefault="00C64CD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81.546,00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04CC" w14:textId="77777777" w:rsidR="00C64CD1" w:rsidRDefault="00C64C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</w:tr>
    </w:tbl>
    <w:p w14:paraId="4C350B48" w14:textId="4223D0B4" w:rsidR="00163D97" w:rsidRDefault="00163D97" w:rsidP="007613FD">
      <w:pPr>
        <w:jc w:val="both"/>
      </w:pPr>
    </w:p>
    <w:p w14:paraId="19035808" w14:textId="6245F491" w:rsidR="00A41BF1" w:rsidRDefault="007D7D5B" w:rsidP="00A55558">
      <w:pPr>
        <w:ind w:firstLine="720"/>
        <w:jc w:val="both"/>
      </w:pPr>
      <w:r w:rsidRPr="00FE5FD4">
        <w:t xml:space="preserve">U tablici </w:t>
      </w:r>
      <w:r w:rsidR="00EA0373">
        <w:t>7</w:t>
      </w:r>
      <w:r w:rsidRPr="00FE5FD4">
        <w:t>. prikazani su</w:t>
      </w:r>
      <w:r>
        <w:t xml:space="preserve"> izvori financiranja programskih aktivnosti i tekućih i kapitalnih projekata planiranih u sljedećem razdoblju. Udio općih prihoda u financiranju svih rashoda iskazanih u Posebnom dijelu Proračuna je </w:t>
      </w:r>
      <w:r w:rsidR="00EF5428">
        <w:t>2</w:t>
      </w:r>
      <w:r w:rsidR="006830E7">
        <w:t>8</w:t>
      </w:r>
      <w:r w:rsidR="00EF5428">
        <w:t>,</w:t>
      </w:r>
      <w:r w:rsidR="006830E7">
        <w:t>56</w:t>
      </w:r>
      <w:r>
        <w:t xml:space="preserve">%, udio prihoda od pomoći je </w:t>
      </w:r>
      <w:r w:rsidR="001A4466">
        <w:t>43,69</w:t>
      </w:r>
      <w:r>
        <w:t>%</w:t>
      </w:r>
      <w:r w:rsidR="00714643">
        <w:t>,</w:t>
      </w:r>
      <w:r>
        <w:t xml:space="preserve"> a prihoda za posebne namjene </w:t>
      </w:r>
      <w:r w:rsidR="00C97A9B">
        <w:t>1</w:t>
      </w:r>
      <w:r w:rsidR="001A4466">
        <w:t>1,55</w:t>
      </w:r>
      <w:r>
        <w:t xml:space="preserve">%. Planirani prihodi od namjenskog zaduživanja u financiranju rashoda sudjeluju s </w:t>
      </w:r>
      <w:r w:rsidR="00C97A9B">
        <w:t>1</w:t>
      </w:r>
      <w:r w:rsidR="001A4466">
        <w:t>0,05</w:t>
      </w:r>
      <w:r>
        <w:t xml:space="preserve">%, a </w:t>
      </w:r>
      <w:r w:rsidR="00F67957">
        <w:t>prihodi od prodaje ili zamjene nefinancijske imovine</w:t>
      </w:r>
      <w:r>
        <w:t xml:space="preserve"> </w:t>
      </w:r>
      <w:r w:rsidR="002817E2">
        <w:t xml:space="preserve">s </w:t>
      </w:r>
      <w:r w:rsidR="00C97A9B">
        <w:t>0,</w:t>
      </w:r>
      <w:r w:rsidR="001A4466">
        <w:t>33</w:t>
      </w:r>
      <w:r w:rsidR="002817E2">
        <w:t xml:space="preserve">%. Prihodi od </w:t>
      </w:r>
      <w:r>
        <w:t>donacija čine tek 0,</w:t>
      </w:r>
      <w:r w:rsidR="001A4466">
        <w:t>11</w:t>
      </w:r>
      <w:r>
        <w:t xml:space="preserve">%, a višak prihoda koji se prenosi u sljedeću godinu sudjeluje u ukupnim rashodima s </w:t>
      </w:r>
      <w:r w:rsidR="001A4466">
        <w:t>5,08</w:t>
      </w:r>
      <w:r>
        <w:t>%. V</w:t>
      </w:r>
      <w:r w:rsidR="00A55558">
        <w:t>viškovi v</w:t>
      </w:r>
      <w:r>
        <w:t>lastiti</w:t>
      </w:r>
      <w:r w:rsidR="00A55558">
        <w:t>h</w:t>
      </w:r>
      <w:r>
        <w:t xml:space="preserve"> prihod</w:t>
      </w:r>
      <w:r w:rsidR="00A55558">
        <w:t>a</w:t>
      </w:r>
      <w:r>
        <w:t xml:space="preserve"> proračunskih korisnika koriste se za pokriće tek </w:t>
      </w:r>
      <w:r w:rsidR="00CD666C" w:rsidRPr="008724E9">
        <w:t>0,</w:t>
      </w:r>
      <w:r w:rsidR="001A4466">
        <w:t>64</w:t>
      </w:r>
      <w:r w:rsidRPr="008724E9">
        <w:t xml:space="preserve">% ukupnih rashoda. </w:t>
      </w:r>
    </w:p>
    <w:p w14:paraId="3054F9CF" w14:textId="610F32F1" w:rsidR="00A41BF1" w:rsidRDefault="00A41BF1" w:rsidP="007613FD">
      <w:pPr>
        <w:jc w:val="both"/>
      </w:pPr>
    </w:p>
    <w:p w14:paraId="026C1CFD" w14:textId="77777777" w:rsidR="003767C7" w:rsidRDefault="003767C7" w:rsidP="007613FD">
      <w:pPr>
        <w:rPr>
          <w:b/>
          <w:color w:val="000000"/>
          <w:sz w:val="23"/>
          <w:szCs w:val="23"/>
          <w:u w:val="single"/>
        </w:rPr>
      </w:pPr>
    </w:p>
    <w:p w14:paraId="624B33E8" w14:textId="59508E33" w:rsidR="00A41BF1" w:rsidRPr="00384E9E" w:rsidRDefault="007D7D5B" w:rsidP="007613FD">
      <w:pPr>
        <w:pStyle w:val="Heading1"/>
        <w:spacing w:before="0" w:after="0"/>
      </w:pPr>
      <w:r w:rsidRPr="00384E9E">
        <w:t xml:space="preserve">RASHODI PO ORGANIZACIJSKOJ KLASIFIKACIJI </w:t>
      </w:r>
    </w:p>
    <w:p w14:paraId="7A13353A" w14:textId="77777777" w:rsidR="00A41BF1" w:rsidRDefault="00A41BF1" w:rsidP="007613FD">
      <w:pPr>
        <w:ind w:firstLine="708"/>
        <w:jc w:val="both"/>
        <w:rPr>
          <w:sz w:val="22"/>
          <w:szCs w:val="22"/>
          <w:u w:val="single"/>
        </w:rPr>
      </w:pPr>
    </w:p>
    <w:p w14:paraId="4DEDEC21" w14:textId="2EC84702" w:rsidR="00A41BF1" w:rsidRDefault="007D7D5B" w:rsidP="007613FD">
      <w:pPr>
        <w:ind w:firstLine="708"/>
        <w:jc w:val="both"/>
        <w:rPr>
          <w:color w:val="000000"/>
        </w:rPr>
      </w:pPr>
      <w:r>
        <w:rPr>
          <w:color w:val="000000"/>
        </w:rPr>
        <w:t>Organizacijska struktura prikazuje raspored sredstava planiranih u Proračunu po upravnim tijelima Grada. Organizacijska struktura Grada Karlovca za 20</w:t>
      </w:r>
      <w:r w:rsidR="00CD666C">
        <w:rPr>
          <w:color w:val="000000"/>
        </w:rPr>
        <w:t>2</w:t>
      </w:r>
      <w:r w:rsidR="00C13403">
        <w:rPr>
          <w:color w:val="000000"/>
        </w:rPr>
        <w:t>4</w:t>
      </w:r>
      <w:r>
        <w:rPr>
          <w:color w:val="000000"/>
        </w:rPr>
        <w:t xml:space="preserve">. </w:t>
      </w:r>
      <w:r w:rsidRPr="000A642D">
        <w:rPr>
          <w:color w:val="000000"/>
        </w:rPr>
        <w:t xml:space="preserve">godinu izrađena je na </w:t>
      </w:r>
      <w:r w:rsidRPr="00FB235D">
        <w:rPr>
          <w:color w:val="000000"/>
        </w:rPr>
        <w:t xml:space="preserve">temelju </w:t>
      </w:r>
      <w:r w:rsidR="00D70D64" w:rsidRPr="00D70D64">
        <w:rPr>
          <w:color w:val="000000"/>
        </w:rPr>
        <w:t>Odluk</w:t>
      </w:r>
      <w:r w:rsidR="00D70D64">
        <w:rPr>
          <w:color w:val="000000"/>
        </w:rPr>
        <w:t>e</w:t>
      </w:r>
      <w:r w:rsidR="00D70D64" w:rsidRPr="00D70D64">
        <w:rPr>
          <w:color w:val="000000"/>
        </w:rPr>
        <w:t xml:space="preserve"> o ustrojstvu i djelokrugu upravnih tijela Grada Karlovca </w:t>
      </w:r>
      <w:r w:rsidRPr="00FB235D">
        <w:rPr>
          <w:color w:val="000000"/>
        </w:rPr>
        <w:t>(Glasnik Grada Karlovca</w:t>
      </w:r>
      <w:r w:rsidR="00F77779">
        <w:rPr>
          <w:color w:val="000000"/>
        </w:rPr>
        <w:t>,</w:t>
      </w:r>
      <w:r w:rsidRPr="00FB235D">
        <w:rPr>
          <w:color w:val="000000"/>
        </w:rPr>
        <w:t xml:space="preserve"> broj </w:t>
      </w:r>
      <w:r w:rsidR="00294FDF">
        <w:rPr>
          <w:color w:val="000000"/>
        </w:rPr>
        <w:t>19</w:t>
      </w:r>
      <w:r w:rsidR="001C67D8" w:rsidRPr="00FB235D">
        <w:rPr>
          <w:color w:val="000000"/>
        </w:rPr>
        <w:t>/</w:t>
      </w:r>
      <w:r w:rsidR="000A642D" w:rsidRPr="00FB235D">
        <w:rPr>
          <w:color w:val="000000"/>
        </w:rPr>
        <w:t>2</w:t>
      </w:r>
      <w:r w:rsidR="00294FDF">
        <w:rPr>
          <w:color w:val="000000"/>
        </w:rPr>
        <w:t>3</w:t>
      </w:r>
      <w:r w:rsidRPr="00FB235D">
        <w:rPr>
          <w:color w:val="000000"/>
        </w:rPr>
        <w:t>).</w:t>
      </w:r>
    </w:p>
    <w:p w14:paraId="18B4BBBC" w14:textId="77777777" w:rsidR="00C64CD1" w:rsidRDefault="00C64CD1" w:rsidP="007613FD">
      <w:pPr>
        <w:ind w:firstLine="708"/>
        <w:jc w:val="both"/>
        <w:rPr>
          <w:color w:val="000000"/>
        </w:rPr>
      </w:pPr>
    </w:p>
    <w:p w14:paraId="3B8883C8" w14:textId="3C7968C2" w:rsidR="00A41BF1" w:rsidRDefault="007D7D5B" w:rsidP="007613FD">
      <w:pPr>
        <w:ind w:firstLine="708"/>
        <w:jc w:val="both"/>
        <w:rPr>
          <w:sz w:val="22"/>
          <w:szCs w:val="22"/>
        </w:rPr>
      </w:pPr>
      <w:r>
        <w:rPr>
          <w:color w:val="000000"/>
        </w:rPr>
        <w:t xml:space="preserve">U sljedećoj se tablici prikazuju proračunska sredstva raspoređena po upravnim odjelima gradske uprave i proračunskim korisnicima. </w:t>
      </w:r>
      <w:r>
        <w:t xml:space="preserve"> </w:t>
      </w:r>
    </w:p>
    <w:p w14:paraId="7F3468AB" w14:textId="77777777" w:rsidR="00A41BF1" w:rsidRDefault="00A41BF1" w:rsidP="007613FD">
      <w:pPr>
        <w:jc w:val="both"/>
        <w:rPr>
          <w:sz w:val="22"/>
          <w:szCs w:val="22"/>
        </w:rPr>
      </w:pPr>
    </w:p>
    <w:p w14:paraId="18A0603C" w14:textId="017285F3" w:rsidR="00A41BF1" w:rsidRDefault="007D7D5B" w:rsidP="007613FD">
      <w:pPr>
        <w:jc w:val="both"/>
        <w:rPr>
          <w:b/>
          <w:sz w:val="22"/>
          <w:szCs w:val="22"/>
        </w:rPr>
      </w:pPr>
      <w:r w:rsidRPr="00DB7F49">
        <w:rPr>
          <w:b/>
          <w:sz w:val="22"/>
          <w:szCs w:val="22"/>
        </w:rPr>
        <w:t xml:space="preserve">Tablica </w:t>
      </w:r>
      <w:r w:rsidR="00EA0373">
        <w:rPr>
          <w:b/>
          <w:sz w:val="22"/>
          <w:szCs w:val="22"/>
        </w:rPr>
        <w:t>8</w:t>
      </w:r>
      <w:r w:rsidRPr="00DB7F49">
        <w:rPr>
          <w:b/>
          <w:sz w:val="22"/>
          <w:szCs w:val="22"/>
        </w:rPr>
        <w:t>. Prijedlog Proračuna Grada Karlovca za 20</w:t>
      </w:r>
      <w:r w:rsidR="00CD666C" w:rsidRPr="00DB7F49">
        <w:rPr>
          <w:b/>
          <w:sz w:val="22"/>
          <w:szCs w:val="22"/>
        </w:rPr>
        <w:t>2</w:t>
      </w:r>
      <w:r w:rsidR="00294FDF">
        <w:rPr>
          <w:b/>
          <w:sz w:val="22"/>
          <w:szCs w:val="22"/>
        </w:rPr>
        <w:t>4</w:t>
      </w:r>
      <w:r w:rsidRPr="00DB7F49">
        <w:rPr>
          <w:b/>
          <w:sz w:val="22"/>
          <w:szCs w:val="22"/>
        </w:rPr>
        <w:t>.g. po organizacijskoj klasifikaciji</w:t>
      </w:r>
    </w:p>
    <w:tbl>
      <w:tblPr>
        <w:tblW w:w="9215" w:type="dxa"/>
        <w:tblLook w:val="04A0" w:firstRow="1" w:lastRow="0" w:firstColumn="1" w:lastColumn="0" w:noHBand="0" w:noVBand="1"/>
      </w:tblPr>
      <w:tblGrid>
        <w:gridCol w:w="1381"/>
        <w:gridCol w:w="4939"/>
        <w:gridCol w:w="1578"/>
        <w:gridCol w:w="1317"/>
      </w:tblGrid>
      <w:tr w:rsidR="00D7026F" w14:paraId="4E63932D" w14:textId="77777777" w:rsidTr="00C64CD1">
        <w:trPr>
          <w:trHeight w:val="284"/>
        </w:trPr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2F644B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7596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ORGANIZACIJSKA KLASIFIKACIJA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D9B3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PLANIRANO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5740F4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%</w:t>
            </w:r>
          </w:p>
        </w:tc>
      </w:tr>
      <w:tr w:rsidR="00D7026F" w14:paraId="4731D4F9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0A93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9274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SVEUKUPNO RASHODI / IZDACI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38F2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95.249.310,00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565C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</w:tr>
      <w:tr w:rsidR="00D7026F" w14:paraId="1B1E8ED6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DC439AF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BE5D7A0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POSLOVE GRADONAČELNIKA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B8DE1ED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4.312.741,00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D2121E8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4,53</w:t>
            </w:r>
          </w:p>
        </w:tc>
      </w:tr>
      <w:tr w:rsidR="00D7026F" w14:paraId="4D74C1E2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5B24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00101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76525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UO ZA POSLOVE GRADONAČELNIKA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1A06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1.611.089,00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5370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1,69</w:t>
            </w:r>
          </w:p>
        </w:tc>
      </w:tr>
      <w:tr w:rsidR="00D7026F" w14:paraId="3E82C24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DEE9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00102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4205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GRADSKO VIJEĆE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AE8E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545.800,00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576D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0,57</w:t>
            </w:r>
          </w:p>
        </w:tc>
      </w:tr>
      <w:tr w:rsidR="00D7026F" w14:paraId="7DB12209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AA75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00103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18BB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JAVNA VATROGASNA POSTROJBA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489AF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2.155.852,00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F0E9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2,26</w:t>
            </w:r>
          </w:p>
        </w:tc>
      </w:tr>
      <w:tr w:rsidR="00D7026F" w14:paraId="52CD6A7D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BC2B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66BB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JAVNA VATROGASNA POSTROJBA GRADA KARLOVCA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A711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2.155.852,00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0661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2,26</w:t>
            </w:r>
          </w:p>
        </w:tc>
      </w:tr>
      <w:tr w:rsidR="00D7026F" w14:paraId="06155BB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D7B208B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79C33E2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PRORAČUN I FINANCIJE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E7F5890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6.113.450,00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67588FF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6,42</w:t>
            </w:r>
          </w:p>
        </w:tc>
      </w:tr>
      <w:tr w:rsidR="00D7026F" w14:paraId="758423C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E3A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00201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60A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ODJELA ZA PRORAČUN I FINANCIJE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9832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6.113.450,00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927B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6,42</w:t>
            </w:r>
          </w:p>
        </w:tc>
      </w:tr>
      <w:tr w:rsidR="00D7026F" w14:paraId="7FE04DD8" w14:textId="77777777" w:rsidTr="00C64CD1">
        <w:trPr>
          <w:trHeight w:val="45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95D010C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FFE2A7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UO  ZA PROSTORNO UREĐENJE I POSLOVE PROVEDBE DOKUMENATA PROSTORNOG UREĐENJA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4AFC96F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479.600,00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6CF75A0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0,50</w:t>
            </w:r>
          </w:p>
        </w:tc>
      </w:tr>
      <w:tr w:rsidR="00D7026F" w14:paraId="1AAB7DD7" w14:textId="77777777" w:rsidTr="00C64CD1">
        <w:trPr>
          <w:trHeight w:val="45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45B0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00301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5245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UO ZA PROSTORNO UREĐENJE I POSLOVE PROVEDBE DOKUMENTA PROSTORNOG UREĐENJA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F907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479.600,00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8B31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0,50</w:t>
            </w:r>
          </w:p>
        </w:tc>
      </w:tr>
      <w:tr w:rsidR="00D7026F" w14:paraId="18AF7A03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0076CEF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7EADFC4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 GRADNJU I ZAŠTITU OKOLIŠA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976555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37.413.343,00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171C8F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39,28</w:t>
            </w:r>
          </w:p>
        </w:tc>
      </w:tr>
      <w:tr w:rsidR="00D7026F" w14:paraId="0746304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7353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00401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ED6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UO ZA GRADNJU I ZAŠTITU OKOLIŠA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4F60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37.413.343,00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F03D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39,28</w:t>
            </w:r>
          </w:p>
        </w:tc>
      </w:tr>
      <w:tr w:rsidR="00D7026F" w14:paraId="63186232" w14:textId="77777777" w:rsidTr="00C64CD1">
        <w:trPr>
          <w:trHeight w:val="45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AB5C3CB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A251399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KOMUNALNO GOSPODARSTVO, PROMET  I MJESNU SAMOUPRAVU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B6D87B0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9.914.357,00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3FB19C4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10,41</w:t>
            </w:r>
          </w:p>
        </w:tc>
      </w:tr>
      <w:tr w:rsidR="00D7026F" w14:paraId="5E1A970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0AE1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00501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3719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ODJEL ZA KOMUNALNO GOSPODARSTVO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A05D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9.675.404,00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C0F1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10,16</w:t>
            </w:r>
          </w:p>
        </w:tc>
      </w:tr>
      <w:tr w:rsidR="00D7026F" w14:paraId="782C44F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80DF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00502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ADA0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MJESNA SAMOUPRAVA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98F5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238.953,00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D3F0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0,25</w:t>
            </w:r>
          </w:p>
        </w:tc>
      </w:tr>
      <w:tr w:rsidR="00D7026F" w14:paraId="7EEA6A8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EE4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5CD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BANIJA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29F3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2F8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5D9FB4A9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6DE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D48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DREŽNIK - HRNETIĆ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9C2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3.717,00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761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6EE1B878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A2D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FE1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DUBOVAC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91549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5.119,00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916D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62A214D3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C46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D0D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GAZA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548B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382E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</w:tr>
      <w:tr w:rsidR="00D7026F" w14:paraId="322D3279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D3DE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D71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GRABRIK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9FD7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D912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6BC0BC5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28D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06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AF7B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LUŠČIĆ - JAMADOL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CB91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30E7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5503F8FB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7A0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07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3F9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MOSTANJE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0CCDC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E153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632A16A6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8822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08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36C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NOVI CENTAR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38A4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E40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2ADC163D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BA3D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09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B17D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RAKOVAC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07DE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820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42D2BB0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ECA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2692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ŠVARČA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8474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590A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44E23F4E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13E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5C82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TURANJ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CE07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4C47A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11341E8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7C0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4F6A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GČ ZVIJEZDA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649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8DA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386C81C8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D32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E03A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POPOVIĆ BRDO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C3E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21B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6BE54C73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A08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86AC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BORLIN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6074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389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4654BEF6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D62E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8D0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CEROVAC VUKMANIĆKI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627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7087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16798CA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CDFE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16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4EF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DONJE POKUPJE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E3FF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830E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07A21A2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961D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17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B50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GORNJE MEKUŠJE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5C86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8D78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7C06050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0F5D2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18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5BF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GORNJE STATIVE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1B7A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DDC2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71A91DA6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096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19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D50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GRADAC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8B58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76F9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3403A9CB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586B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0F7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KABLAR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1EED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B6AC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368E7F7C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AB4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7ED01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KAMENSKO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F3AB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925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140A267B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7B0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CA9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KNEZ GORICA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8674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DF3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616FBB8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01B1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C84E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LADVENJAK - SELIŠĆE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2C7B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43D8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57E2AF4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98F2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5504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LOGORIŠTE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01AB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C31A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4487FD57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54F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98AD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MAHIČNO - TUŠKANI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D6C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5C89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0C9059D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B8F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26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A4B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MALA JELSA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B0CF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4D51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03E62CBD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FED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27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7738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MALA ŠVARČA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80C1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24A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46C8D87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F60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28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1F5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ORLOVAC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0F1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DD6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79A0C2B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4C91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29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14A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POKUPSKA DOLINA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B9BC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393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141F0ADA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C113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961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REČICA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AB8D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06B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</w:tr>
      <w:tr w:rsidR="00D7026F" w14:paraId="6738EBF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1BA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699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SJENIČAK - UTINJA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F89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67F5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563053C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FA9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Korisnik  32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10A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SKAKAVAC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7BD5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8.337,00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77D0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510C97DE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BFFB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0A2B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ŠIŠLJAVIĆ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EDE9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D8C4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40A8898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F01E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B23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TUŠILOVIĆ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04C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799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7A18343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5EA1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F98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VELIKA JELSA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0B2E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AF78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61F84E2E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B62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36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315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VUKMANIĆ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8050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4405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</w:tr>
      <w:tr w:rsidR="00D7026F" w14:paraId="543F0DE1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16CD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37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730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ZADOBARJE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314D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306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09F9E34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5ED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38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FE8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 ZAGRAD - KALVARIJA - VUČJAK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0D8D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E73C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D7026F" w14:paraId="0719A47D" w14:textId="77777777" w:rsidTr="00C64CD1">
        <w:trPr>
          <w:trHeight w:val="45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2920093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006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62CEE0E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IMOVINSKO PRAVNE POSLOVE I UPRAVLJANJE IMOVINOM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4B56315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1.267.953,00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DA6E7DA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1,33</w:t>
            </w:r>
          </w:p>
        </w:tc>
      </w:tr>
      <w:tr w:rsidR="00D7026F" w14:paraId="681CC6DD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007C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00601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7944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UO ZA IMOVINSKO PRAVNE POSLOVE I UPRAVLJANJE IMOVINOM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2BC2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1.267.953,00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5B5D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1,33</w:t>
            </w:r>
          </w:p>
        </w:tc>
      </w:tr>
      <w:tr w:rsidR="00D7026F" w14:paraId="453A104E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3060273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007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98BA6A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 GOSPODARSTVO, RAZVOJ GRADA I EU FONDOVE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63436AB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5.060.637,00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C2226DE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5,31</w:t>
            </w:r>
          </w:p>
        </w:tc>
      </w:tr>
      <w:tr w:rsidR="00D7026F" w14:paraId="2D2F756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4B5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00701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1BA0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ODJEL ZA  GOSPODARSTVO, RAZVOJ GRADA I EU FONDOVE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ACDB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3.435.157,00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1E54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3,61</w:t>
            </w:r>
          </w:p>
        </w:tc>
      </w:tr>
      <w:tr w:rsidR="00D7026F" w14:paraId="57D3EE97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BD31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00702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C80F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AQUATIKA -  SLATKOVODNI AKVARIJ KARLOVAC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B752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955.000,00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B6C1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  <w:tr w:rsidR="00D7026F" w14:paraId="42C4B48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06F2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67ED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AQUATIKA - SLATKOVODNI AKVARIJ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CC3C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955.000,00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EB2C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D7026F" w14:paraId="525771B6" w14:textId="77777777" w:rsidTr="00C64CD1">
        <w:trPr>
          <w:trHeight w:val="45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7136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00703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EEDF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KINO EDISON, MULTIMEDIJSKI CENTAR ZA KULTURNO TURISTIČKE SADRŽAJE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4BB14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670.480,00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AE7A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0,70</w:t>
            </w:r>
          </w:p>
        </w:tc>
      </w:tr>
      <w:tr w:rsidR="00D7026F" w14:paraId="5E9B81B5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2276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16C7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KINO EDISON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D1B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670.480,00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67D0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D7026F" w14:paraId="7B1707B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ECBF338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008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13E657D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UPRAVNI ODJEL ZA DRUŠTVENE DJELATNOSTI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1C84474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29.962.802,00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AF6DA06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31,46</w:t>
            </w:r>
          </w:p>
        </w:tc>
      </w:tr>
      <w:tr w:rsidR="00D7026F" w14:paraId="7393918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15FC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00801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3819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ODJEL ZA DRUŠTVENE DJELATNOSTI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B881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3.687.754,00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3E0CB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3,87</w:t>
            </w:r>
          </w:p>
        </w:tc>
      </w:tr>
      <w:tr w:rsidR="00D7026F" w14:paraId="166B683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DFD2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00802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731A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OSNOVNE ŠKOLE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7102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15.902.800,00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14EB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16,70</w:t>
            </w:r>
          </w:p>
        </w:tc>
      </w:tr>
      <w:tr w:rsidR="00D7026F" w14:paraId="6019691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F7D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49AC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BANIJA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142A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1.972.994,00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7070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2,07</w:t>
            </w:r>
          </w:p>
        </w:tc>
      </w:tr>
      <w:tr w:rsidR="00D7026F" w14:paraId="6C672AD2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0FCA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84F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"BRAĆA SELJAN"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9D45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1.360.128,00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39F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1,43</w:t>
            </w:r>
          </w:p>
        </w:tc>
      </w:tr>
      <w:tr w:rsidR="00D7026F" w14:paraId="6F7C9089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B5EC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ED7C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"DRAGOJLA JARNEVIĆ"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8436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1.371.153,00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077A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</w:tr>
      <w:tr w:rsidR="00D7026F" w14:paraId="353889B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C0F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C4D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DUBOVAC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7F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2.469.293,00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7CD36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2,59</w:t>
            </w:r>
          </w:p>
        </w:tc>
      </w:tr>
      <w:tr w:rsidR="00D7026F" w14:paraId="0FDD6B4F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863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6002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GRABRIK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5C71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1.965.285,00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1C17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2,06</w:t>
            </w:r>
          </w:p>
        </w:tc>
      </w:tr>
      <w:tr w:rsidR="00D7026F" w14:paraId="70EFFF62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7E1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06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B0F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ŠVARČA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C1B3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1.666.918,00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A0E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</w:tr>
      <w:tr w:rsidR="00D7026F" w14:paraId="600D907D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4A9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07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48C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TURANJ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0684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1.438.893,00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BD36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1,51</w:t>
            </w:r>
          </w:p>
        </w:tc>
      </w:tr>
      <w:tr w:rsidR="00D7026F" w14:paraId="5AC71CEA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FD61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08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3048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MAHIČNO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FCEA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800.920,00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9725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0,84</w:t>
            </w:r>
          </w:p>
        </w:tc>
      </w:tr>
      <w:tr w:rsidR="00D7026F" w14:paraId="376BFBD2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18D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09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F103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REČICA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DD4E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663.535,00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AB51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0,70</w:t>
            </w:r>
          </w:p>
        </w:tc>
      </w:tr>
      <w:tr w:rsidR="00D7026F" w14:paraId="1674E579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866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D79C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OŠ SKAKAVAC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4121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603.719,00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7770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</w:t>
            </w:r>
          </w:p>
        </w:tc>
      </w:tr>
      <w:tr w:rsidR="00D7026F" w14:paraId="4D55E311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0802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11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FF48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CENTAR ZA ODGOJ I OBRAZOVANJE DJECE I MLADEŽI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3CBB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1.485.468,00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A806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1,56</w:t>
            </w:r>
          </w:p>
        </w:tc>
      </w:tr>
      <w:tr w:rsidR="00D7026F" w14:paraId="21D0FAA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EACC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00803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09C54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USTANOVE KULTURE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250D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3.175.129,00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11BB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3,33</w:t>
            </w:r>
          </w:p>
        </w:tc>
      </w:tr>
      <w:tr w:rsidR="00D7026F" w14:paraId="352EF0F4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38E5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A8CB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GRADSKA KNJIŽNICA "IVAN GORAN KOVAČIĆ"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B5A67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1.019.913,00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CF0D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1,07</w:t>
            </w:r>
          </w:p>
        </w:tc>
      </w:tr>
      <w:tr w:rsidR="00D7026F" w14:paraId="2E699CD8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9934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548E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MUZEJI GRADA KARLOVCA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9E4F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1.180.000,00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048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1,24</w:t>
            </w:r>
          </w:p>
        </w:tc>
      </w:tr>
      <w:tr w:rsidR="00D7026F" w14:paraId="1B7C1687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DB78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03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4BA1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GRADSKO KAZALIŠTE "ZORIN DOM" KARLOVAC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52CE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975.216,00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714B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</w:t>
            </w:r>
          </w:p>
        </w:tc>
      </w:tr>
      <w:tr w:rsidR="00D7026F" w14:paraId="69E2AF9A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E913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00804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41EF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USTANOVE PREDŠKOLSKOG ODGOJA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6B55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5.736.231,00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6FDF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6,02</w:t>
            </w:r>
          </w:p>
        </w:tc>
      </w:tr>
      <w:tr w:rsidR="00D7026F" w14:paraId="02737B2C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8EDF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D86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DJEČJI VRTIĆ KARLOVAC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D32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2.914.578,00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ADA5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3,06</w:t>
            </w:r>
          </w:p>
        </w:tc>
      </w:tr>
      <w:tr w:rsidR="00D7026F" w14:paraId="292DB4A2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ED80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02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C08EA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DJEČJI VRTIĆ ČETIRI RIJEKE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D972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2.821.653,00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951F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2,96</w:t>
            </w:r>
          </w:p>
        </w:tc>
      </w:tr>
      <w:tr w:rsidR="00D7026F" w14:paraId="674BE183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73AE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00805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C954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USTANOVA ZA UPRAVLJANJE SPORTSKIM OBJEKTIMA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183AA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1.460.888,00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FD08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1,53</w:t>
            </w:r>
          </w:p>
        </w:tc>
      </w:tr>
      <w:tr w:rsidR="00D7026F" w14:paraId="721E2A16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754F9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Korisnik  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D45C" w14:textId="77777777" w:rsidR="00D7026F" w:rsidRDefault="00D702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SPORTSKI OBJEKTI KARLOVAC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A996" w14:textId="77777777" w:rsidR="00D7026F" w:rsidRDefault="00D702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1.460.888,00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A302" w14:textId="77777777" w:rsidR="00D7026F" w:rsidRDefault="00D702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1,53</w:t>
            </w:r>
          </w:p>
        </w:tc>
      </w:tr>
      <w:tr w:rsidR="00D7026F" w14:paraId="729BD3B8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A418E33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009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FF8E5EA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SLUŽBA ZA PROVEDBU ITU MEHANIZMA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98FC00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108.092,00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087C78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0,11</w:t>
            </w:r>
          </w:p>
        </w:tc>
      </w:tr>
      <w:tr w:rsidR="00D7026F" w14:paraId="1BE368D6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628A9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00901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CE1B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SLUŽBA ZA PROVEDBU ITU MEHANIZMA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E589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108.092,00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78D5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0,11</w:t>
            </w:r>
          </w:p>
        </w:tc>
      </w:tr>
      <w:tr w:rsidR="00D7026F" w14:paraId="72719484" w14:textId="77777777" w:rsidTr="00C64CD1">
        <w:trPr>
          <w:trHeight w:val="45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39A1F8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Razdjel  010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407AB32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SLUŽBA - VLASTITI POGON GRADA ZA OBAVLJANJE KOMUNALNE DJELATNOSTI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53F59A2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616.335,00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5E65BB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0,65</w:t>
            </w:r>
          </w:p>
        </w:tc>
      </w:tr>
      <w:tr w:rsidR="00D7026F" w14:paraId="07633560" w14:textId="77777777" w:rsidTr="00C64CD1">
        <w:trPr>
          <w:trHeight w:val="284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8724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Glava  01001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14DD" w14:textId="77777777" w:rsidR="00D7026F" w:rsidRDefault="00D70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POGON - PARKING I PAUK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699C" w14:textId="77777777" w:rsidR="00D7026F" w:rsidRDefault="00D7026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616.335,00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3AF3" w14:textId="77777777" w:rsidR="00D7026F" w:rsidRDefault="00D702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0,65</w:t>
            </w:r>
          </w:p>
        </w:tc>
      </w:tr>
    </w:tbl>
    <w:p w14:paraId="711581B6" w14:textId="6A18203A" w:rsidR="007740EA" w:rsidRDefault="007740EA" w:rsidP="007613FD">
      <w:pPr>
        <w:jc w:val="both"/>
        <w:rPr>
          <w:sz w:val="22"/>
          <w:szCs w:val="22"/>
        </w:rPr>
      </w:pPr>
    </w:p>
    <w:p w14:paraId="0D4DB137" w14:textId="2638E252" w:rsidR="00A41BF1" w:rsidRDefault="007D7D5B" w:rsidP="007613FD">
      <w:pPr>
        <w:jc w:val="both"/>
      </w:pPr>
      <w:r w:rsidRPr="00CD666C">
        <w:t>U strukturi ukupnih rashoda 20</w:t>
      </w:r>
      <w:r w:rsidR="00FE3A0E" w:rsidRPr="00CD666C">
        <w:t>2</w:t>
      </w:r>
      <w:r w:rsidR="00294FDF">
        <w:t>4</w:t>
      </w:r>
      <w:r w:rsidRPr="00CD666C">
        <w:t>. godine upravni odjeli su planirani kako slijedi:</w:t>
      </w:r>
      <w:r>
        <w:t xml:space="preserve"> </w:t>
      </w:r>
    </w:p>
    <w:p w14:paraId="6D601B51" w14:textId="1288766B" w:rsidR="00A41BF1" w:rsidRDefault="007D7D5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Upravni odjel za društvene djelatnosti </w:t>
      </w:r>
      <w:r w:rsidR="003778D5">
        <w:rPr>
          <w:color w:val="000000"/>
        </w:rPr>
        <w:t>29.962.802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ili </w:t>
      </w:r>
      <w:r w:rsidR="00700B18">
        <w:rPr>
          <w:color w:val="000000"/>
        </w:rPr>
        <w:t>3</w:t>
      </w:r>
      <w:r w:rsidR="003778D5">
        <w:rPr>
          <w:color w:val="000000"/>
        </w:rPr>
        <w:t>1</w:t>
      </w:r>
      <w:r w:rsidR="00295E41">
        <w:rPr>
          <w:color w:val="000000"/>
        </w:rPr>
        <w:t>,</w:t>
      </w:r>
      <w:r w:rsidR="003778D5">
        <w:rPr>
          <w:color w:val="000000"/>
        </w:rPr>
        <w:t>46</w:t>
      </w:r>
      <w:r>
        <w:rPr>
          <w:color w:val="000000"/>
        </w:rPr>
        <w:t>% ukupnih rashoda,</w:t>
      </w:r>
    </w:p>
    <w:p w14:paraId="2445059F" w14:textId="74367B7C" w:rsidR="00A41BF1" w:rsidRDefault="007D7D5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Upravni odjel za gradnju i zaštitu okoliša </w:t>
      </w:r>
      <w:r w:rsidR="00340F99">
        <w:rPr>
          <w:color w:val="000000"/>
        </w:rPr>
        <w:t>37.413.343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ili </w:t>
      </w:r>
      <w:r w:rsidR="004E29AC">
        <w:rPr>
          <w:color w:val="000000"/>
        </w:rPr>
        <w:t>3</w:t>
      </w:r>
      <w:r w:rsidR="00340F99">
        <w:rPr>
          <w:color w:val="000000"/>
        </w:rPr>
        <w:t>9,28</w:t>
      </w:r>
      <w:r>
        <w:rPr>
          <w:color w:val="000000"/>
        </w:rPr>
        <w:t xml:space="preserve">% ukupnih rashoda, </w:t>
      </w:r>
    </w:p>
    <w:p w14:paraId="211E9F51" w14:textId="6DEA8E55" w:rsidR="0093288B" w:rsidRDefault="0093288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Upravni odjel za komunalno gospodarstvo</w:t>
      </w:r>
      <w:r w:rsidR="00980904">
        <w:rPr>
          <w:color w:val="000000"/>
        </w:rPr>
        <w:t>, promet i mjesnu samoupravu</w:t>
      </w:r>
      <w:r>
        <w:rPr>
          <w:color w:val="000000"/>
        </w:rPr>
        <w:t xml:space="preserve"> </w:t>
      </w:r>
      <w:r w:rsidR="00980904">
        <w:rPr>
          <w:color w:val="000000"/>
        </w:rPr>
        <w:t>9.914.357</w:t>
      </w:r>
      <w:r w:rsidR="00A16D7D"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ili </w:t>
      </w:r>
      <w:r w:rsidR="00826085">
        <w:rPr>
          <w:color w:val="000000"/>
        </w:rPr>
        <w:t>1</w:t>
      </w:r>
      <w:r w:rsidR="00A16D7D">
        <w:rPr>
          <w:color w:val="000000"/>
        </w:rPr>
        <w:t>0,</w:t>
      </w:r>
      <w:r w:rsidR="00980904">
        <w:rPr>
          <w:color w:val="000000"/>
        </w:rPr>
        <w:t>4</w:t>
      </w:r>
      <w:r w:rsidR="00A16D7D">
        <w:rPr>
          <w:color w:val="000000"/>
        </w:rPr>
        <w:t>1</w:t>
      </w:r>
      <w:r>
        <w:rPr>
          <w:color w:val="000000"/>
        </w:rPr>
        <w:t>% ukupnih rashoda,</w:t>
      </w:r>
    </w:p>
    <w:p w14:paraId="06F56D25" w14:textId="74D8274B" w:rsidR="00A41BF1" w:rsidRPr="0093288B" w:rsidRDefault="007D7D5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3288B">
        <w:rPr>
          <w:color w:val="000000"/>
        </w:rPr>
        <w:t xml:space="preserve">Upravni odjel za proračun i financije </w:t>
      </w:r>
      <w:r w:rsidR="008E7876">
        <w:rPr>
          <w:color w:val="000000"/>
        </w:rPr>
        <w:t>6.113.450</w:t>
      </w:r>
      <w:r w:rsidRPr="0093288B">
        <w:rPr>
          <w:color w:val="000000"/>
        </w:rPr>
        <w:t xml:space="preserve"> </w:t>
      </w:r>
      <w:r w:rsidR="00994C7A">
        <w:rPr>
          <w:color w:val="000000"/>
        </w:rPr>
        <w:t>eura</w:t>
      </w:r>
      <w:r w:rsidRPr="0093288B">
        <w:rPr>
          <w:color w:val="000000"/>
        </w:rPr>
        <w:t xml:space="preserve"> ili</w:t>
      </w:r>
      <w:r w:rsidR="00826085">
        <w:rPr>
          <w:color w:val="000000"/>
        </w:rPr>
        <w:t xml:space="preserve"> </w:t>
      </w:r>
      <w:r w:rsidR="008F2F4B">
        <w:rPr>
          <w:color w:val="000000"/>
        </w:rPr>
        <w:t>6,</w:t>
      </w:r>
      <w:r w:rsidR="008E7876">
        <w:rPr>
          <w:color w:val="000000"/>
        </w:rPr>
        <w:t>42</w:t>
      </w:r>
      <w:r w:rsidRPr="0093288B">
        <w:rPr>
          <w:color w:val="000000"/>
        </w:rPr>
        <w:t>%</w:t>
      </w:r>
    </w:p>
    <w:p w14:paraId="1068E9C1" w14:textId="29C67023" w:rsidR="00A41BF1" w:rsidRDefault="007D7D5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</w:t>
      </w:r>
      <w:r w:rsidR="008E7876">
        <w:rPr>
          <w:color w:val="000000"/>
        </w:rPr>
        <w:t>pravni odjel za poslove</w:t>
      </w:r>
      <w:r>
        <w:rPr>
          <w:color w:val="000000"/>
        </w:rPr>
        <w:t xml:space="preserve"> gradonačelnika </w:t>
      </w:r>
      <w:r w:rsidR="00AB70FD">
        <w:rPr>
          <w:color w:val="000000"/>
        </w:rPr>
        <w:t>4.312.741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ili </w:t>
      </w:r>
      <w:r w:rsidR="008F2F4B">
        <w:rPr>
          <w:color w:val="000000"/>
        </w:rPr>
        <w:t>4,</w:t>
      </w:r>
      <w:r w:rsidR="00AB70FD">
        <w:rPr>
          <w:color w:val="000000"/>
        </w:rPr>
        <w:t>53</w:t>
      </w:r>
      <w:r>
        <w:rPr>
          <w:color w:val="000000"/>
        </w:rPr>
        <w:t xml:space="preserve">% ukupnih rashoda, </w:t>
      </w:r>
    </w:p>
    <w:p w14:paraId="23DC4544" w14:textId="6865F0F4" w:rsidR="00A41BF1" w:rsidRDefault="007D7D5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4B09BB">
        <w:rPr>
          <w:color w:val="000000"/>
        </w:rPr>
        <w:t xml:space="preserve">Upravni odjel za gospodarstvo, </w:t>
      </w:r>
      <w:r w:rsidR="00AB70FD">
        <w:rPr>
          <w:color w:val="000000"/>
        </w:rPr>
        <w:t>razvoj grada i EU fondove</w:t>
      </w:r>
      <w:r w:rsidRPr="004B09BB">
        <w:rPr>
          <w:color w:val="000000"/>
        </w:rPr>
        <w:t xml:space="preserve"> </w:t>
      </w:r>
      <w:r w:rsidR="00E41271">
        <w:rPr>
          <w:color w:val="000000"/>
        </w:rPr>
        <w:t>5.060.637</w:t>
      </w:r>
      <w:r w:rsidR="004741DC" w:rsidRPr="004B09BB">
        <w:rPr>
          <w:color w:val="000000"/>
        </w:rPr>
        <w:t xml:space="preserve"> </w:t>
      </w:r>
      <w:r w:rsidR="00994C7A" w:rsidRPr="004B09BB">
        <w:rPr>
          <w:color w:val="000000"/>
        </w:rPr>
        <w:t>eura</w:t>
      </w:r>
      <w:r w:rsidRPr="004B09BB">
        <w:rPr>
          <w:color w:val="000000"/>
        </w:rPr>
        <w:t xml:space="preserve"> ili</w:t>
      </w:r>
      <w:r w:rsidR="00E41271">
        <w:rPr>
          <w:color w:val="000000"/>
        </w:rPr>
        <w:t xml:space="preserve"> 5,31</w:t>
      </w:r>
      <w:r w:rsidRPr="004B09BB">
        <w:rPr>
          <w:color w:val="000000"/>
        </w:rPr>
        <w:t xml:space="preserve">%, </w:t>
      </w:r>
    </w:p>
    <w:p w14:paraId="545A055D" w14:textId="6A844FB8" w:rsidR="00A41BF1" w:rsidRDefault="007D7D5B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Upravni odjel za imovinsko pravne poslove i upravljanje imovinom </w:t>
      </w:r>
      <w:r w:rsidR="00E41271">
        <w:rPr>
          <w:color w:val="000000"/>
        </w:rPr>
        <w:t>1.267.953</w:t>
      </w:r>
      <w:r w:rsidR="004741DC"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ili </w:t>
      </w:r>
      <w:r w:rsidR="004741DC">
        <w:rPr>
          <w:color w:val="000000"/>
        </w:rPr>
        <w:t>1</w:t>
      </w:r>
      <w:r w:rsidR="00826085">
        <w:rPr>
          <w:color w:val="000000"/>
        </w:rPr>
        <w:t>,</w:t>
      </w:r>
      <w:r w:rsidR="00216F4E">
        <w:rPr>
          <w:color w:val="000000"/>
        </w:rPr>
        <w:t>33</w:t>
      </w:r>
      <w:r>
        <w:rPr>
          <w:color w:val="000000"/>
        </w:rPr>
        <w:t>% ukupnih rashoda</w:t>
      </w:r>
      <w:r w:rsidR="00826085">
        <w:rPr>
          <w:color w:val="000000"/>
        </w:rPr>
        <w:t>,</w:t>
      </w:r>
    </w:p>
    <w:p w14:paraId="596A046D" w14:textId="206B42B7" w:rsidR="00030FDD" w:rsidRDefault="00030FDD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Upravni odjel za prostorno uređenje i poslove provedbe dokumenata </w:t>
      </w:r>
      <w:r w:rsidR="004322CD">
        <w:rPr>
          <w:color w:val="000000"/>
        </w:rPr>
        <w:t xml:space="preserve">prostornog uređenja </w:t>
      </w:r>
      <w:r w:rsidR="00216F4E">
        <w:rPr>
          <w:color w:val="000000"/>
        </w:rPr>
        <w:t>479.600</w:t>
      </w:r>
      <w:r w:rsidR="003B1117">
        <w:rPr>
          <w:color w:val="000000"/>
        </w:rPr>
        <w:t xml:space="preserve"> eura</w:t>
      </w:r>
      <w:r w:rsidR="000F2150">
        <w:rPr>
          <w:color w:val="000000"/>
        </w:rPr>
        <w:t xml:space="preserve"> ili </w:t>
      </w:r>
      <w:r w:rsidR="00D87628">
        <w:rPr>
          <w:color w:val="000000"/>
        </w:rPr>
        <w:t>0,5</w:t>
      </w:r>
      <w:r w:rsidR="00216F4E">
        <w:rPr>
          <w:color w:val="000000"/>
        </w:rPr>
        <w:t>0</w:t>
      </w:r>
      <w:r w:rsidR="00D87628">
        <w:rPr>
          <w:color w:val="000000"/>
        </w:rPr>
        <w:t xml:space="preserve">% </w:t>
      </w:r>
    </w:p>
    <w:p w14:paraId="4EBBE373" w14:textId="77777777" w:rsidR="00AD0AA6" w:rsidRDefault="0059121C" w:rsidP="004079E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Služba za provedbu ITU mehanizma </w:t>
      </w:r>
      <w:r w:rsidR="00AD0AA6">
        <w:rPr>
          <w:color w:val="000000"/>
        </w:rPr>
        <w:t>108.092</w:t>
      </w:r>
      <w:r>
        <w:rPr>
          <w:color w:val="000000"/>
        </w:rPr>
        <w:t xml:space="preserve"> </w:t>
      </w:r>
      <w:r w:rsidR="00994C7A">
        <w:rPr>
          <w:color w:val="000000"/>
        </w:rPr>
        <w:t>eura</w:t>
      </w:r>
      <w:r>
        <w:rPr>
          <w:color w:val="000000"/>
        </w:rPr>
        <w:t xml:space="preserve"> ili 0,</w:t>
      </w:r>
      <w:r w:rsidR="00D87628">
        <w:rPr>
          <w:color w:val="000000"/>
        </w:rPr>
        <w:t>1</w:t>
      </w:r>
      <w:r w:rsidR="00AD0AA6">
        <w:rPr>
          <w:color w:val="000000"/>
        </w:rPr>
        <w:t>1</w:t>
      </w:r>
      <w:r>
        <w:rPr>
          <w:color w:val="000000"/>
        </w:rPr>
        <w:t>%</w:t>
      </w:r>
      <w:r w:rsidR="00AD0AA6">
        <w:rPr>
          <w:color w:val="000000"/>
        </w:rPr>
        <w:t xml:space="preserve"> te</w:t>
      </w:r>
    </w:p>
    <w:p w14:paraId="45A88F9D" w14:textId="0D2A0499" w:rsidR="00464FA5" w:rsidRPr="00C652F9" w:rsidRDefault="00AD0AA6" w:rsidP="00C652F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Služba – vlastiti pogon Grada </w:t>
      </w:r>
      <w:r w:rsidR="00B11FE2">
        <w:rPr>
          <w:color w:val="000000"/>
        </w:rPr>
        <w:t>za obavljanje komunalne djelatnosti 616.335 eura ili 0,65% ukupnih rashoda.</w:t>
      </w:r>
      <w:r w:rsidR="0059121C">
        <w:rPr>
          <w:color w:val="000000"/>
        </w:rPr>
        <w:t xml:space="preserve"> </w:t>
      </w:r>
    </w:p>
    <w:p w14:paraId="677FE0A5" w14:textId="77777777" w:rsidR="00C64CD1" w:rsidRPr="002E6340" w:rsidRDefault="00C64CD1" w:rsidP="0065295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FF0000"/>
          <w:sz w:val="32"/>
          <w:szCs w:val="32"/>
        </w:rPr>
      </w:pPr>
    </w:p>
    <w:p w14:paraId="4F52AC2E" w14:textId="7811A030" w:rsidR="00464FA5" w:rsidRDefault="002C19B5" w:rsidP="00610F9E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noProof/>
        </w:rPr>
        <w:drawing>
          <wp:inline distT="0" distB="0" distL="0" distR="0" wp14:anchorId="573B52FD" wp14:editId="6CD5C34E">
            <wp:extent cx="5311140" cy="4408227"/>
            <wp:effectExtent l="0" t="0" r="3810" b="11430"/>
            <wp:docPr id="18517156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69D8D9B-299F-DD69-8D72-346733D85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F16AAFE" w14:textId="77777777" w:rsidR="00C64CD1" w:rsidRDefault="00C64CD1" w:rsidP="00C652F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13ABE6" w14:textId="5E3A73FC" w:rsidR="00BA38A8" w:rsidRPr="00C652F9" w:rsidRDefault="007D7D5B" w:rsidP="00C652F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>U nastavku ovog obrazloženja nalaze se opisi programa i obrazloženje planiranih rashoda u Proračunu Grada Karlovca za 20</w:t>
      </w:r>
      <w:r w:rsidR="004741DC">
        <w:t>2</w:t>
      </w:r>
      <w:r w:rsidR="00B11FE2">
        <w:t>4</w:t>
      </w:r>
      <w:r>
        <w:t xml:space="preserve">. godinu po razdjelima, programima, te aktivnostima i projektima Grada Karlovca. </w:t>
      </w:r>
    </w:p>
    <w:p w14:paraId="7DDF66E5" w14:textId="77777777" w:rsidR="00BA38A8" w:rsidRDefault="00BA38A8" w:rsidP="007613FD">
      <w:pPr>
        <w:ind w:firstLine="708"/>
        <w:jc w:val="both"/>
      </w:pPr>
    </w:p>
    <w:p w14:paraId="270C7E03" w14:textId="77777777" w:rsidR="00200CF1" w:rsidRDefault="00200CF1" w:rsidP="00200CF1">
      <w:pPr>
        <w:jc w:val="both"/>
      </w:pPr>
    </w:p>
    <w:p w14:paraId="19DA0AE3" w14:textId="03807BFE" w:rsidR="00200CF1" w:rsidRDefault="00200CF1" w:rsidP="00C652F9">
      <w:pPr>
        <w:jc w:val="both"/>
        <w:rPr>
          <w:sz w:val="22"/>
          <w:szCs w:val="22"/>
        </w:rPr>
      </w:pPr>
      <w:r>
        <w:rPr>
          <w:sz w:val="22"/>
          <w:szCs w:val="22"/>
        </w:rPr>
        <w:t>Viši stručni suradnik za lokalnu riznicu</w:t>
      </w:r>
      <w:r w:rsidRPr="002A11CA">
        <w:rPr>
          <w:sz w:val="22"/>
          <w:szCs w:val="22"/>
        </w:rPr>
        <w:t xml:space="preserve">                                             Pročelnica UO za proračun i financije                                                                   </w:t>
      </w:r>
    </w:p>
    <w:p w14:paraId="5CE061A8" w14:textId="3F5443D2" w:rsidR="00200CF1" w:rsidRPr="002A11CA" w:rsidRDefault="00200CF1" w:rsidP="00200CF1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</w:t>
      </w:r>
      <w:r w:rsidR="008C06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Iva Matijević, mag.oec.</w:t>
      </w:r>
      <w:r w:rsidRPr="002A11CA">
        <w:rPr>
          <w:sz w:val="22"/>
          <w:szCs w:val="22"/>
        </w:rPr>
        <w:t xml:space="preserve">                                                              </w:t>
      </w:r>
      <w:r w:rsidR="008C060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2A11CA">
        <w:rPr>
          <w:sz w:val="22"/>
          <w:szCs w:val="22"/>
        </w:rPr>
        <w:t>Lidija Malović, dipl.oec.</w:t>
      </w:r>
    </w:p>
    <w:p w14:paraId="7913D54F" w14:textId="16089CAA" w:rsidR="00A41BF1" w:rsidRPr="001C2219" w:rsidRDefault="007D7D5B" w:rsidP="007613FD">
      <w:pPr>
        <w:ind w:firstLine="708"/>
        <w:jc w:val="center"/>
      </w:pPr>
      <w:r>
        <w:t xml:space="preserve">                                                                   </w:t>
      </w:r>
    </w:p>
    <w:sectPr w:rsidR="00A41BF1" w:rsidRPr="001C2219">
      <w:footerReference w:type="even" r:id="rId18"/>
      <w:footerReference w:type="default" r:id="rId19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893C" w14:textId="77777777" w:rsidR="00633F5D" w:rsidRDefault="00633F5D">
      <w:r>
        <w:separator/>
      </w:r>
    </w:p>
  </w:endnote>
  <w:endnote w:type="continuationSeparator" w:id="0">
    <w:p w14:paraId="20F1F53C" w14:textId="77777777" w:rsidR="00633F5D" w:rsidRDefault="006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A982" w14:textId="77777777" w:rsidR="00A41BF1" w:rsidRDefault="007D7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50C48F" w14:textId="77777777" w:rsidR="00A41BF1" w:rsidRDefault="00A41B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19EB" w14:textId="77777777" w:rsidR="00A41BF1" w:rsidRDefault="007D7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0DB1">
      <w:rPr>
        <w:noProof/>
        <w:color w:val="000000"/>
      </w:rPr>
      <w:t>23</w:t>
    </w:r>
    <w:r>
      <w:rPr>
        <w:color w:val="000000"/>
      </w:rPr>
      <w:fldChar w:fldCharType="end"/>
    </w:r>
  </w:p>
  <w:p w14:paraId="0DDD0266" w14:textId="77777777" w:rsidR="00A41BF1" w:rsidRDefault="00A41B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2DEA" w14:textId="77777777" w:rsidR="00633F5D" w:rsidRDefault="00633F5D">
      <w:r>
        <w:separator/>
      </w:r>
    </w:p>
  </w:footnote>
  <w:footnote w:type="continuationSeparator" w:id="0">
    <w:p w14:paraId="31EA8920" w14:textId="77777777" w:rsidR="00633F5D" w:rsidRDefault="0063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10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84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860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504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5A4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B44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861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F2C3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30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4D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5B2E"/>
    <w:multiLevelType w:val="multilevel"/>
    <w:tmpl w:val="6390E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D326B6"/>
    <w:multiLevelType w:val="hybridMultilevel"/>
    <w:tmpl w:val="88CC70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3B99"/>
    <w:multiLevelType w:val="hybridMultilevel"/>
    <w:tmpl w:val="C812E608"/>
    <w:lvl w:ilvl="0" w:tplc="CFE06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7128B"/>
    <w:multiLevelType w:val="hybridMultilevel"/>
    <w:tmpl w:val="3D903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466C"/>
    <w:multiLevelType w:val="multilevel"/>
    <w:tmpl w:val="710EA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7DC38AF"/>
    <w:multiLevelType w:val="hybridMultilevel"/>
    <w:tmpl w:val="B052A92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080125"/>
    <w:multiLevelType w:val="hybridMultilevel"/>
    <w:tmpl w:val="20723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C55BD"/>
    <w:multiLevelType w:val="multilevel"/>
    <w:tmpl w:val="FA6CBA6A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8" w15:restartNumberingAfterBreak="0">
    <w:nsid w:val="4C35510A"/>
    <w:multiLevelType w:val="hybridMultilevel"/>
    <w:tmpl w:val="519E728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B1444E"/>
    <w:multiLevelType w:val="multilevel"/>
    <w:tmpl w:val="4B186A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0" w15:restartNumberingAfterBreak="0">
    <w:nsid w:val="50685D62"/>
    <w:multiLevelType w:val="multilevel"/>
    <w:tmpl w:val="A16EA7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A401055"/>
    <w:multiLevelType w:val="multilevel"/>
    <w:tmpl w:val="97C04C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58870E4"/>
    <w:multiLevelType w:val="multilevel"/>
    <w:tmpl w:val="3B1ABD08"/>
    <w:lvl w:ilvl="0">
      <w:start w:val="1"/>
      <w:numFmt w:val="decimal"/>
      <w:lvlText w:val="%1."/>
      <w:lvlJc w:val="left"/>
      <w:pPr>
        <w:ind w:left="1068" w:firstLine="70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vertAlign w:val="baseline"/>
      </w:rPr>
    </w:lvl>
  </w:abstractNum>
  <w:abstractNum w:abstractNumId="23" w15:restartNumberingAfterBreak="0">
    <w:nsid w:val="6D0E0183"/>
    <w:multiLevelType w:val="multilevel"/>
    <w:tmpl w:val="68E229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4" w15:restartNumberingAfterBreak="0">
    <w:nsid w:val="703A2B84"/>
    <w:multiLevelType w:val="hybridMultilevel"/>
    <w:tmpl w:val="3298529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73624DE"/>
    <w:multiLevelType w:val="hybridMultilevel"/>
    <w:tmpl w:val="08EECDD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EF41F35"/>
    <w:multiLevelType w:val="multilevel"/>
    <w:tmpl w:val="83EEAA2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93782371">
    <w:abstractNumId w:val="19"/>
  </w:num>
  <w:num w:numId="2" w16cid:durableId="556018101">
    <w:abstractNumId w:val="20"/>
  </w:num>
  <w:num w:numId="3" w16cid:durableId="1832985027">
    <w:abstractNumId w:val="10"/>
  </w:num>
  <w:num w:numId="4" w16cid:durableId="2121603974">
    <w:abstractNumId w:val="23"/>
  </w:num>
  <w:num w:numId="5" w16cid:durableId="527262572">
    <w:abstractNumId w:val="22"/>
  </w:num>
  <w:num w:numId="6" w16cid:durableId="1405034296">
    <w:abstractNumId w:val="17"/>
  </w:num>
  <w:num w:numId="7" w16cid:durableId="659579737">
    <w:abstractNumId w:val="11"/>
  </w:num>
  <w:num w:numId="8" w16cid:durableId="399408838">
    <w:abstractNumId w:val="14"/>
  </w:num>
  <w:num w:numId="9" w16cid:durableId="30695950">
    <w:abstractNumId w:val="9"/>
  </w:num>
  <w:num w:numId="10" w16cid:durableId="1058624416">
    <w:abstractNumId w:val="7"/>
  </w:num>
  <w:num w:numId="11" w16cid:durableId="363792276">
    <w:abstractNumId w:val="6"/>
  </w:num>
  <w:num w:numId="12" w16cid:durableId="1411266493">
    <w:abstractNumId w:val="5"/>
  </w:num>
  <w:num w:numId="13" w16cid:durableId="2020233391">
    <w:abstractNumId w:val="4"/>
  </w:num>
  <w:num w:numId="14" w16cid:durableId="640040221">
    <w:abstractNumId w:val="8"/>
  </w:num>
  <w:num w:numId="15" w16cid:durableId="1353729667">
    <w:abstractNumId w:val="3"/>
  </w:num>
  <w:num w:numId="16" w16cid:durableId="141166561">
    <w:abstractNumId w:val="2"/>
  </w:num>
  <w:num w:numId="17" w16cid:durableId="2095274980">
    <w:abstractNumId w:val="1"/>
  </w:num>
  <w:num w:numId="18" w16cid:durableId="1534145679">
    <w:abstractNumId w:val="0"/>
  </w:num>
  <w:num w:numId="19" w16cid:durableId="1910728406">
    <w:abstractNumId w:val="26"/>
  </w:num>
  <w:num w:numId="20" w16cid:durableId="1113475802">
    <w:abstractNumId w:val="18"/>
  </w:num>
  <w:num w:numId="21" w16cid:durableId="1946957639">
    <w:abstractNumId w:val="12"/>
  </w:num>
  <w:num w:numId="22" w16cid:durableId="1292248416">
    <w:abstractNumId w:val="15"/>
  </w:num>
  <w:num w:numId="23" w16cid:durableId="417289224">
    <w:abstractNumId w:val="25"/>
  </w:num>
  <w:num w:numId="24" w16cid:durableId="232198643">
    <w:abstractNumId w:val="16"/>
  </w:num>
  <w:num w:numId="25" w16cid:durableId="1386175633">
    <w:abstractNumId w:val="24"/>
  </w:num>
  <w:num w:numId="26" w16cid:durableId="1749767181">
    <w:abstractNumId w:val="26"/>
  </w:num>
  <w:num w:numId="27" w16cid:durableId="966811535">
    <w:abstractNumId w:val="13"/>
  </w:num>
  <w:num w:numId="28" w16cid:durableId="11900687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F1"/>
    <w:rsid w:val="0000111D"/>
    <w:rsid w:val="0000484D"/>
    <w:rsid w:val="0000565A"/>
    <w:rsid w:val="00005ED3"/>
    <w:rsid w:val="00006CD6"/>
    <w:rsid w:val="00006D91"/>
    <w:rsid w:val="00007095"/>
    <w:rsid w:val="00010A3F"/>
    <w:rsid w:val="000114C2"/>
    <w:rsid w:val="00011AD2"/>
    <w:rsid w:val="00011E6F"/>
    <w:rsid w:val="0001459E"/>
    <w:rsid w:val="000147CF"/>
    <w:rsid w:val="000149A2"/>
    <w:rsid w:val="000158C1"/>
    <w:rsid w:val="000169BC"/>
    <w:rsid w:val="00016EAD"/>
    <w:rsid w:val="00020051"/>
    <w:rsid w:val="000207BA"/>
    <w:rsid w:val="00020B61"/>
    <w:rsid w:val="000219E8"/>
    <w:rsid w:val="000221CB"/>
    <w:rsid w:val="00022E31"/>
    <w:rsid w:val="000238EF"/>
    <w:rsid w:val="00023FD6"/>
    <w:rsid w:val="00025666"/>
    <w:rsid w:val="0002737C"/>
    <w:rsid w:val="00030FDD"/>
    <w:rsid w:val="0003114E"/>
    <w:rsid w:val="00031679"/>
    <w:rsid w:val="000333AF"/>
    <w:rsid w:val="0003371C"/>
    <w:rsid w:val="000379EA"/>
    <w:rsid w:val="0004024E"/>
    <w:rsid w:val="000409C8"/>
    <w:rsid w:val="00041311"/>
    <w:rsid w:val="000413C0"/>
    <w:rsid w:val="00041E79"/>
    <w:rsid w:val="00041ECE"/>
    <w:rsid w:val="000427EF"/>
    <w:rsid w:val="00042BCD"/>
    <w:rsid w:val="00043522"/>
    <w:rsid w:val="00043EB1"/>
    <w:rsid w:val="000451DA"/>
    <w:rsid w:val="00045809"/>
    <w:rsid w:val="00045845"/>
    <w:rsid w:val="0004612A"/>
    <w:rsid w:val="00047C79"/>
    <w:rsid w:val="0005234E"/>
    <w:rsid w:val="0005308A"/>
    <w:rsid w:val="00055126"/>
    <w:rsid w:val="00055995"/>
    <w:rsid w:val="00056FE7"/>
    <w:rsid w:val="00060081"/>
    <w:rsid w:val="000604DC"/>
    <w:rsid w:val="00060B94"/>
    <w:rsid w:val="000619B6"/>
    <w:rsid w:val="0006565B"/>
    <w:rsid w:val="00065A84"/>
    <w:rsid w:val="00066830"/>
    <w:rsid w:val="0007069B"/>
    <w:rsid w:val="00070EE0"/>
    <w:rsid w:val="00070F94"/>
    <w:rsid w:val="000730A7"/>
    <w:rsid w:val="00073BF7"/>
    <w:rsid w:val="00075976"/>
    <w:rsid w:val="0007624E"/>
    <w:rsid w:val="00076AEB"/>
    <w:rsid w:val="00077F38"/>
    <w:rsid w:val="0008235A"/>
    <w:rsid w:val="00082995"/>
    <w:rsid w:val="00082DDB"/>
    <w:rsid w:val="0008302C"/>
    <w:rsid w:val="000902CD"/>
    <w:rsid w:val="00090A50"/>
    <w:rsid w:val="000914C5"/>
    <w:rsid w:val="00092C17"/>
    <w:rsid w:val="0009419C"/>
    <w:rsid w:val="00095850"/>
    <w:rsid w:val="000975F0"/>
    <w:rsid w:val="000A0F6F"/>
    <w:rsid w:val="000A1990"/>
    <w:rsid w:val="000A2018"/>
    <w:rsid w:val="000A24CC"/>
    <w:rsid w:val="000A3451"/>
    <w:rsid w:val="000A3F14"/>
    <w:rsid w:val="000A4DFE"/>
    <w:rsid w:val="000A5EDC"/>
    <w:rsid w:val="000A642D"/>
    <w:rsid w:val="000A64D1"/>
    <w:rsid w:val="000A72C4"/>
    <w:rsid w:val="000A7340"/>
    <w:rsid w:val="000A7543"/>
    <w:rsid w:val="000B169E"/>
    <w:rsid w:val="000B291A"/>
    <w:rsid w:val="000B3121"/>
    <w:rsid w:val="000B36C8"/>
    <w:rsid w:val="000B3EDE"/>
    <w:rsid w:val="000B3F87"/>
    <w:rsid w:val="000B44D4"/>
    <w:rsid w:val="000B7717"/>
    <w:rsid w:val="000C2BDE"/>
    <w:rsid w:val="000C3069"/>
    <w:rsid w:val="000C313C"/>
    <w:rsid w:val="000C3790"/>
    <w:rsid w:val="000C5D05"/>
    <w:rsid w:val="000C6529"/>
    <w:rsid w:val="000D550B"/>
    <w:rsid w:val="000D5A89"/>
    <w:rsid w:val="000D6C98"/>
    <w:rsid w:val="000E0529"/>
    <w:rsid w:val="000E2726"/>
    <w:rsid w:val="000E3B0C"/>
    <w:rsid w:val="000E44B0"/>
    <w:rsid w:val="000E5187"/>
    <w:rsid w:val="000E5AEA"/>
    <w:rsid w:val="000E6876"/>
    <w:rsid w:val="000E751C"/>
    <w:rsid w:val="000E78F7"/>
    <w:rsid w:val="000F02F6"/>
    <w:rsid w:val="000F0EEE"/>
    <w:rsid w:val="000F181C"/>
    <w:rsid w:val="000F1BA9"/>
    <w:rsid w:val="000F2150"/>
    <w:rsid w:val="000F2325"/>
    <w:rsid w:val="000F46C1"/>
    <w:rsid w:val="000F59E1"/>
    <w:rsid w:val="000F7071"/>
    <w:rsid w:val="000F7E85"/>
    <w:rsid w:val="001010BD"/>
    <w:rsid w:val="001013AE"/>
    <w:rsid w:val="001036CD"/>
    <w:rsid w:val="00105BB9"/>
    <w:rsid w:val="001075A7"/>
    <w:rsid w:val="001100E7"/>
    <w:rsid w:val="0011043D"/>
    <w:rsid w:val="00110E20"/>
    <w:rsid w:val="00111C62"/>
    <w:rsid w:val="00113A83"/>
    <w:rsid w:val="00114FB2"/>
    <w:rsid w:val="001156B5"/>
    <w:rsid w:val="00115C9D"/>
    <w:rsid w:val="0011729C"/>
    <w:rsid w:val="00120954"/>
    <w:rsid w:val="00120B2B"/>
    <w:rsid w:val="00122869"/>
    <w:rsid w:val="001229C5"/>
    <w:rsid w:val="00122BAA"/>
    <w:rsid w:val="001238FA"/>
    <w:rsid w:val="00123920"/>
    <w:rsid w:val="00123C4C"/>
    <w:rsid w:val="0012471D"/>
    <w:rsid w:val="00125325"/>
    <w:rsid w:val="0012783B"/>
    <w:rsid w:val="00130AF8"/>
    <w:rsid w:val="0013426D"/>
    <w:rsid w:val="0013591C"/>
    <w:rsid w:val="0013787B"/>
    <w:rsid w:val="001379A6"/>
    <w:rsid w:val="001403B3"/>
    <w:rsid w:val="00140F05"/>
    <w:rsid w:val="00140F3F"/>
    <w:rsid w:val="00141998"/>
    <w:rsid w:val="00143942"/>
    <w:rsid w:val="001443B8"/>
    <w:rsid w:val="00144CC2"/>
    <w:rsid w:val="00145761"/>
    <w:rsid w:val="001466C9"/>
    <w:rsid w:val="00146AFF"/>
    <w:rsid w:val="00147DDE"/>
    <w:rsid w:val="001520E6"/>
    <w:rsid w:val="001529A0"/>
    <w:rsid w:val="00152CF6"/>
    <w:rsid w:val="001535B7"/>
    <w:rsid w:val="001537BF"/>
    <w:rsid w:val="00153B12"/>
    <w:rsid w:val="0015433F"/>
    <w:rsid w:val="00154C24"/>
    <w:rsid w:val="001559C1"/>
    <w:rsid w:val="00155BBA"/>
    <w:rsid w:val="00161136"/>
    <w:rsid w:val="00161C8C"/>
    <w:rsid w:val="00161F25"/>
    <w:rsid w:val="00163478"/>
    <w:rsid w:val="00163D97"/>
    <w:rsid w:val="00165FF8"/>
    <w:rsid w:val="001660EF"/>
    <w:rsid w:val="00166F7C"/>
    <w:rsid w:val="00170D9D"/>
    <w:rsid w:val="00171BFE"/>
    <w:rsid w:val="0017267C"/>
    <w:rsid w:val="001726F8"/>
    <w:rsid w:val="00174354"/>
    <w:rsid w:val="00174CCC"/>
    <w:rsid w:val="00174FD9"/>
    <w:rsid w:val="001759E2"/>
    <w:rsid w:val="00175C16"/>
    <w:rsid w:val="001763A7"/>
    <w:rsid w:val="00176D0A"/>
    <w:rsid w:val="00177B20"/>
    <w:rsid w:val="0018019D"/>
    <w:rsid w:val="00180558"/>
    <w:rsid w:val="00180BB2"/>
    <w:rsid w:val="0018228E"/>
    <w:rsid w:val="001827A3"/>
    <w:rsid w:val="00183A99"/>
    <w:rsid w:val="0018466F"/>
    <w:rsid w:val="00185A66"/>
    <w:rsid w:val="0018638F"/>
    <w:rsid w:val="0018760E"/>
    <w:rsid w:val="00192F6C"/>
    <w:rsid w:val="00193928"/>
    <w:rsid w:val="001943EC"/>
    <w:rsid w:val="00196BB6"/>
    <w:rsid w:val="001970AE"/>
    <w:rsid w:val="0019745E"/>
    <w:rsid w:val="001A268B"/>
    <w:rsid w:val="001A4466"/>
    <w:rsid w:val="001A7704"/>
    <w:rsid w:val="001B076C"/>
    <w:rsid w:val="001B0E5B"/>
    <w:rsid w:val="001B1A3A"/>
    <w:rsid w:val="001B27F1"/>
    <w:rsid w:val="001B3312"/>
    <w:rsid w:val="001B57FF"/>
    <w:rsid w:val="001B5D62"/>
    <w:rsid w:val="001B6220"/>
    <w:rsid w:val="001B7B5D"/>
    <w:rsid w:val="001C150F"/>
    <w:rsid w:val="001C1BAE"/>
    <w:rsid w:val="001C1F2D"/>
    <w:rsid w:val="001C2219"/>
    <w:rsid w:val="001C2885"/>
    <w:rsid w:val="001C2968"/>
    <w:rsid w:val="001C2A15"/>
    <w:rsid w:val="001C335B"/>
    <w:rsid w:val="001C3EEF"/>
    <w:rsid w:val="001C4EF9"/>
    <w:rsid w:val="001C544A"/>
    <w:rsid w:val="001C604C"/>
    <w:rsid w:val="001C67D8"/>
    <w:rsid w:val="001C682B"/>
    <w:rsid w:val="001C6C28"/>
    <w:rsid w:val="001C6E4C"/>
    <w:rsid w:val="001C6F92"/>
    <w:rsid w:val="001C78DF"/>
    <w:rsid w:val="001D0231"/>
    <w:rsid w:val="001D0E19"/>
    <w:rsid w:val="001D2D28"/>
    <w:rsid w:val="001D4091"/>
    <w:rsid w:val="001D4A7A"/>
    <w:rsid w:val="001D5EC4"/>
    <w:rsid w:val="001D66A6"/>
    <w:rsid w:val="001D6F0B"/>
    <w:rsid w:val="001E075A"/>
    <w:rsid w:val="001E18DA"/>
    <w:rsid w:val="001E283F"/>
    <w:rsid w:val="001E2DBB"/>
    <w:rsid w:val="001E3930"/>
    <w:rsid w:val="001E4D4E"/>
    <w:rsid w:val="001E6208"/>
    <w:rsid w:val="001E74C8"/>
    <w:rsid w:val="001F0B9E"/>
    <w:rsid w:val="001F154D"/>
    <w:rsid w:val="001F3219"/>
    <w:rsid w:val="002000AE"/>
    <w:rsid w:val="002003D8"/>
    <w:rsid w:val="00200CF1"/>
    <w:rsid w:val="00201499"/>
    <w:rsid w:val="002019AC"/>
    <w:rsid w:val="00202CFD"/>
    <w:rsid w:val="00202F02"/>
    <w:rsid w:val="00203052"/>
    <w:rsid w:val="002047C5"/>
    <w:rsid w:val="00205B4F"/>
    <w:rsid w:val="00206A92"/>
    <w:rsid w:val="00207537"/>
    <w:rsid w:val="00210465"/>
    <w:rsid w:val="00210B87"/>
    <w:rsid w:val="00210EE2"/>
    <w:rsid w:val="00213C41"/>
    <w:rsid w:val="002140C5"/>
    <w:rsid w:val="002142D8"/>
    <w:rsid w:val="00215138"/>
    <w:rsid w:val="00215448"/>
    <w:rsid w:val="002167A3"/>
    <w:rsid w:val="002167E6"/>
    <w:rsid w:val="00216F4E"/>
    <w:rsid w:val="002173FB"/>
    <w:rsid w:val="00217800"/>
    <w:rsid w:val="00220B49"/>
    <w:rsid w:val="002216E9"/>
    <w:rsid w:val="002220D9"/>
    <w:rsid w:val="0022214B"/>
    <w:rsid w:val="002228A7"/>
    <w:rsid w:val="00222B79"/>
    <w:rsid w:val="00223100"/>
    <w:rsid w:val="002231D0"/>
    <w:rsid w:val="00223C2F"/>
    <w:rsid w:val="0022449E"/>
    <w:rsid w:val="00224ADF"/>
    <w:rsid w:val="00224CEF"/>
    <w:rsid w:val="00224F09"/>
    <w:rsid w:val="00225871"/>
    <w:rsid w:val="00225B9A"/>
    <w:rsid w:val="00227F3E"/>
    <w:rsid w:val="0023051F"/>
    <w:rsid w:val="002318B5"/>
    <w:rsid w:val="00231AF6"/>
    <w:rsid w:val="00231DFE"/>
    <w:rsid w:val="002324DF"/>
    <w:rsid w:val="00233A6F"/>
    <w:rsid w:val="00233D90"/>
    <w:rsid w:val="00234341"/>
    <w:rsid w:val="0023457E"/>
    <w:rsid w:val="00236928"/>
    <w:rsid w:val="0023796F"/>
    <w:rsid w:val="00240CC1"/>
    <w:rsid w:val="00241714"/>
    <w:rsid w:val="002432CA"/>
    <w:rsid w:val="0024373C"/>
    <w:rsid w:val="00243BAF"/>
    <w:rsid w:val="0024516D"/>
    <w:rsid w:val="0024631F"/>
    <w:rsid w:val="00247569"/>
    <w:rsid w:val="0025035C"/>
    <w:rsid w:val="0025080B"/>
    <w:rsid w:val="00251003"/>
    <w:rsid w:val="002528BE"/>
    <w:rsid w:val="00253339"/>
    <w:rsid w:val="0025398F"/>
    <w:rsid w:val="00255951"/>
    <w:rsid w:val="00257109"/>
    <w:rsid w:val="0025728A"/>
    <w:rsid w:val="002606E4"/>
    <w:rsid w:val="00260E58"/>
    <w:rsid w:val="00261CD6"/>
    <w:rsid w:val="00262249"/>
    <w:rsid w:val="00262E93"/>
    <w:rsid w:val="00263BDB"/>
    <w:rsid w:val="0026475E"/>
    <w:rsid w:val="00264AE2"/>
    <w:rsid w:val="0026542C"/>
    <w:rsid w:val="00266DED"/>
    <w:rsid w:val="00267BD7"/>
    <w:rsid w:val="00270DD2"/>
    <w:rsid w:val="0027134D"/>
    <w:rsid w:val="002713AC"/>
    <w:rsid w:val="002715C9"/>
    <w:rsid w:val="00271840"/>
    <w:rsid w:val="00271C4D"/>
    <w:rsid w:val="002724DC"/>
    <w:rsid w:val="002747AB"/>
    <w:rsid w:val="00274BDA"/>
    <w:rsid w:val="00274EA7"/>
    <w:rsid w:val="002769E0"/>
    <w:rsid w:val="00277452"/>
    <w:rsid w:val="00277976"/>
    <w:rsid w:val="00280C3B"/>
    <w:rsid w:val="00281536"/>
    <w:rsid w:val="002817E2"/>
    <w:rsid w:val="00282D34"/>
    <w:rsid w:val="00283D7D"/>
    <w:rsid w:val="00284991"/>
    <w:rsid w:val="00284AAC"/>
    <w:rsid w:val="00285CA8"/>
    <w:rsid w:val="002866A1"/>
    <w:rsid w:val="00287666"/>
    <w:rsid w:val="00290AD0"/>
    <w:rsid w:val="00290F55"/>
    <w:rsid w:val="00291B75"/>
    <w:rsid w:val="00292563"/>
    <w:rsid w:val="00292D65"/>
    <w:rsid w:val="00293393"/>
    <w:rsid w:val="00293F6E"/>
    <w:rsid w:val="0029441A"/>
    <w:rsid w:val="00294F64"/>
    <w:rsid w:val="00294FDF"/>
    <w:rsid w:val="00295B29"/>
    <w:rsid w:val="00295E41"/>
    <w:rsid w:val="0029638E"/>
    <w:rsid w:val="00296403"/>
    <w:rsid w:val="0029642F"/>
    <w:rsid w:val="002977E5"/>
    <w:rsid w:val="002A2F92"/>
    <w:rsid w:val="002A35CF"/>
    <w:rsid w:val="002A37F5"/>
    <w:rsid w:val="002A3FD0"/>
    <w:rsid w:val="002A5788"/>
    <w:rsid w:val="002A6A11"/>
    <w:rsid w:val="002A7102"/>
    <w:rsid w:val="002B116F"/>
    <w:rsid w:val="002B2D39"/>
    <w:rsid w:val="002B496F"/>
    <w:rsid w:val="002B4BCD"/>
    <w:rsid w:val="002B5536"/>
    <w:rsid w:val="002B5A52"/>
    <w:rsid w:val="002B7027"/>
    <w:rsid w:val="002C02E2"/>
    <w:rsid w:val="002C079E"/>
    <w:rsid w:val="002C0E08"/>
    <w:rsid w:val="002C19B5"/>
    <w:rsid w:val="002C279D"/>
    <w:rsid w:val="002C28CA"/>
    <w:rsid w:val="002C36EB"/>
    <w:rsid w:val="002C569B"/>
    <w:rsid w:val="002C5C6C"/>
    <w:rsid w:val="002C69A8"/>
    <w:rsid w:val="002C6F9B"/>
    <w:rsid w:val="002D0F1C"/>
    <w:rsid w:val="002D15EF"/>
    <w:rsid w:val="002D2286"/>
    <w:rsid w:val="002D3643"/>
    <w:rsid w:val="002D465A"/>
    <w:rsid w:val="002D49A0"/>
    <w:rsid w:val="002D58AA"/>
    <w:rsid w:val="002D7465"/>
    <w:rsid w:val="002D753C"/>
    <w:rsid w:val="002D768C"/>
    <w:rsid w:val="002E2CE9"/>
    <w:rsid w:val="002E2F0F"/>
    <w:rsid w:val="002E3A63"/>
    <w:rsid w:val="002E3CF6"/>
    <w:rsid w:val="002E4B8D"/>
    <w:rsid w:val="002E4CC2"/>
    <w:rsid w:val="002E548E"/>
    <w:rsid w:val="002E593E"/>
    <w:rsid w:val="002E5F03"/>
    <w:rsid w:val="002E6340"/>
    <w:rsid w:val="002E6D2D"/>
    <w:rsid w:val="002E7526"/>
    <w:rsid w:val="002F028B"/>
    <w:rsid w:val="002F0DFC"/>
    <w:rsid w:val="002F1B92"/>
    <w:rsid w:val="002F291C"/>
    <w:rsid w:val="002F2A86"/>
    <w:rsid w:val="002F36CE"/>
    <w:rsid w:val="002F4593"/>
    <w:rsid w:val="002F525E"/>
    <w:rsid w:val="002F6E63"/>
    <w:rsid w:val="002F6FDE"/>
    <w:rsid w:val="0030080C"/>
    <w:rsid w:val="00301368"/>
    <w:rsid w:val="003051AB"/>
    <w:rsid w:val="003063F7"/>
    <w:rsid w:val="00306AED"/>
    <w:rsid w:val="003109A4"/>
    <w:rsid w:val="00310E01"/>
    <w:rsid w:val="003111A1"/>
    <w:rsid w:val="0031140A"/>
    <w:rsid w:val="00311470"/>
    <w:rsid w:val="00311F17"/>
    <w:rsid w:val="003125C4"/>
    <w:rsid w:val="00313870"/>
    <w:rsid w:val="0031587E"/>
    <w:rsid w:val="00315F24"/>
    <w:rsid w:val="003174FD"/>
    <w:rsid w:val="00317AD2"/>
    <w:rsid w:val="00320FBA"/>
    <w:rsid w:val="00321BF2"/>
    <w:rsid w:val="00324229"/>
    <w:rsid w:val="00324B1E"/>
    <w:rsid w:val="0032503E"/>
    <w:rsid w:val="00326BF6"/>
    <w:rsid w:val="00327664"/>
    <w:rsid w:val="0032775B"/>
    <w:rsid w:val="00327DCD"/>
    <w:rsid w:val="00327E06"/>
    <w:rsid w:val="003331A3"/>
    <w:rsid w:val="003339C8"/>
    <w:rsid w:val="0033426C"/>
    <w:rsid w:val="0033653E"/>
    <w:rsid w:val="003367D2"/>
    <w:rsid w:val="00336C8B"/>
    <w:rsid w:val="0034031E"/>
    <w:rsid w:val="003404FF"/>
    <w:rsid w:val="00340718"/>
    <w:rsid w:val="0034081D"/>
    <w:rsid w:val="00340F99"/>
    <w:rsid w:val="0034139B"/>
    <w:rsid w:val="003423DD"/>
    <w:rsid w:val="0034248E"/>
    <w:rsid w:val="003434E4"/>
    <w:rsid w:val="003437DF"/>
    <w:rsid w:val="003444C1"/>
    <w:rsid w:val="003447E7"/>
    <w:rsid w:val="003447FC"/>
    <w:rsid w:val="00344D34"/>
    <w:rsid w:val="00345616"/>
    <w:rsid w:val="003459EC"/>
    <w:rsid w:val="0034781E"/>
    <w:rsid w:val="00350BF1"/>
    <w:rsid w:val="00351314"/>
    <w:rsid w:val="00351EE1"/>
    <w:rsid w:val="00352CA3"/>
    <w:rsid w:val="003536EA"/>
    <w:rsid w:val="00353CFF"/>
    <w:rsid w:val="003550DF"/>
    <w:rsid w:val="00355301"/>
    <w:rsid w:val="00355448"/>
    <w:rsid w:val="00355C56"/>
    <w:rsid w:val="00355D86"/>
    <w:rsid w:val="003568C4"/>
    <w:rsid w:val="0035756D"/>
    <w:rsid w:val="00357B8A"/>
    <w:rsid w:val="00357F79"/>
    <w:rsid w:val="0036200A"/>
    <w:rsid w:val="00366299"/>
    <w:rsid w:val="003721B0"/>
    <w:rsid w:val="003724FE"/>
    <w:rsid w:val="00372EE9"/>
    <w:rsid w:val="00374291"/>
    <w:rsid w:val="003748AA"/>
    <w:rsid w:val="00375A87"/>
    <w:rsid w:val="00375BFC"/>
    <w:rsid w:val="003766AD"/>
    <w:rsid w:val="003767C7"/>
    <w:rsid w:val="00376ED3"/>
    <w:rsid w:val="00377110"/>
    <w:rsid w:val="003778D5"/>
    <w:rsid w:val="0037799A"/>
    <w:rsid w:val="00382590"/>
    <w:rsid w:val="00384E9E"/>
    <w:rsid w:val="00386356"/>
    <w:rsid w:val="0039093F"/>
    <w:rsid w:val="0039342D"/>
    <w:rsid w:val="00393C2C"/>
    <w:rsid w:val="00397C2E"/>
    <w:rsid w:val="003A0833"/>
    <w:rsid w:val="003A395C"/>
    <w:rsid w:val="003A5873"/>
    <w:rsid w:val="003A720B"/>
    <w:rsid w:val="003A7E85"/>
    <w:rsid w:val="003B04E8"/>
    <w:rsid w:val="003B0F7B"/>
    <w:rsid w:val="003B1117"/>
    <w:rsid w:val="003B291A"/>
    <w:rsid w:val="003B3920"/>
    <w:rsid w:val="003B6769"/>
    <w:rsid w:val="003B6BD1"/>
    <w:rsid w:val="003B6E73"/>
    <w:rsid w:val="003B72E6"/>
    <w:rsid w:val="003B76DB"/>
    <w:rsid w:val="003B799E"/>
    <w:rsid w:val="003B79EC"/>
    <w:rsid w:val="003C024C"/>
    <w:rsid w:val="003C1025"/>
    <w:rsid w:val="003C4AF3"/>
    <w:rsid w:val="003C5327"/>
    <w:rsid w:val="003C56C4"/>
    <w:rsid w:val="003C5EB0"/>
    <w:rsid w:val="003C6B3E"/>
    <w:rsid w:val="003C6E56"/>
    <w:rsid w:val="003D1AFE"/>
    <w:rsid w:val="003D1C49"/>
    <w:rsid w:val="003D1D0E"/>
    <w:rsid w:val="003D3085"/>
    <w:rsid w:val="003D3BC3"/>
    <w:rsid w:val="003D7760"/>
    <w:rsid w:val="003E11EC"/>
    <w:rsid w:val="003E1C41"/>
    <w:rsid w:val="003E2821"/>
    <w:rsid w:val="003E310A"/>
    <w:rsid w:val="003E3A59"/>
    <w:rsid w:val="003E674F"/>
    <w:rsid w:val="003F0294"/>
    <w:rsid w:val="003F0FCB"/>
    <w:rsid w:val="003F1668"/>
    <w:rsid w:val="003F16DD"/>
    <w:rsid w:val="003F517F"/>
    <w:rsid w:val="003F567B"/>
    <w:rsid w:val="003F589F"/>
    <w:rsid w:val="003F6357"/>
    <w:rsid w:val="003F6E83"/>
    <w:rsid w:val="003F71DD"/>
    <w:rsid w:val="003F7ABC"/>
    <w:rsid w:val="00400EA6"/>
    <w:rsid w:val="00402D7D"/>
    <w:rsid w:val="00403702"/>
    <w:rsid w:val="004044DE"/>
    <w:rsid w:val="00404923"/>
    <w:rsid w:val="00405163"/>
    <w:rsid w:val="004079E9"/>
    <w:rsid w:val="0041106E"/>
    <w:rsid w:val="00411B6C"/>
    <w:rsid w:val="004121C9"/>
    <w:rsid w:val="004122A1"/>
    <w:rsid w:val="0041251B"/>
    <w:rsid w:val="00412D59"/>
    <w:rsid w:val="00415188"/>
    <w:rsid w:val="00415667"/>
    <w:rsid w:val="0041657D"/>
    <w:rsid w:val="00420B51"/>
    <w:rsid w:val="00420EB3"/>
    <w:rsid w:val="00421702"/>
    <w:rsid w:val="00422BC9"/>
    <w:rsid w:val="00423FC9"/>
    <w:rsid w:val="00424B5E"/>
    <w:rsid w:val="0042552E"/>
    <w:rsid w:val="00425751"/>
    <w:rsid w:val="00426172"/>
    <w:rsid w:val="00426CFF"/>
    <w:rsid w:val="0042722B"/>
    <w:rsid w:val="00427DFE"/>
    <w:rsid w:val="00431E08"/>
    <w:rsid w:val="00432169"/>
    <w:rsid w:val="00432205"/>
    <w:rsid w:val="004322CD"/>
    <w:rsid w:val="004324B2"/>
    <w:rsid w:val="00432802"/>
    <w:rsid w:val="004331D6"/>
    <w:rsid w:val="00433499"/>
    <w:rsid w:val="00433D3B"/>
    <w:rsid w:val="00434CCB"/>
    <w:rsid w:val="00434FAE"/>
    <w:rsid w:val="004355F2"/>
    <w:rsid w:val="004370A5"/>
    <w:rsid w:val="00437766"/>
    <w:rsid w:val="00437F66"/>
    <w:rsid w:val="00440112"/>
    <w:rsid w:val="00440595"/>
    <w:rsid w:val="00442EB8"/>
    <w:rsid w:val="004455C1"/>
    <w:rsid w:val="00445AE0"/>
    <w:rsid w:val="0044611D"/>
    <w:rsid w:val="00446399"/>
    <w:rsid w:val="00447CF1"/>
    <w:rsid w:val="00450744"/>
    <w:rsid w:val="00453A33"/>
    <w:rsid w:val="00453D0A"/>
    <w:rsid w:val="004563C8"/>
    <w:rsid w:val="00456CF2"/>
    <w:rsid w:val="00456D9B"/>
    <w:rsid w:val="00460F58"/>
    <w:rsid w:val="00461BF0"/>
    <w:rsid w:val="00462013"/>
    <w:rsid w:val="00462446"/>
    <w:rsid w:val="00462860"/>
    <w:rsid w:val="00463B49"/>
    <w:rsid w:val="0046426C"/>
    <w:rsid w:val="00464D1F"/>
    <w:rsid w:val="00464FA5"/>
    <w:rsid w:val="00465183"/>
    <w:rsid w:val="00466310"/>
    <w:rsid w:val="0046703B"/>
    <w:rsid w:val="00467321"/>
    <w:rsid w:val="004714DA"/>
    <w:rsid w:val="00471AE4"/>
    <w:rsid w:val="00473179"/>
    <w:rsid w:val="0047342D"/>
    <w:rsid w:val="00473F7C"/>
    <w:rsid w:val="004741DC"/>
    <w:rsid w:val="004744B3"/>
    <w:rsid w:val="004758D5"/>
    <w:rsid w:val="00475C6E"/>
    <w:rsid w:val="00476324"/>
    <w:rsid w:val="0048120A"/>
    <w:rsid w:val="00482EC6"/>
    <w:rsid w:val="0048589C"/>
    <w:rsid w:val="004862B6"/>
    <w:rsid w:val="004909D5"/>
    <w:rsid w:val="00490A6D"/>
    <w:rsid w:val="00491CD4"/>
    <w:rsid w:val="004922AD"/>
    <w:rsid w:val="00492963"/>
    <w:rsid w:val="0049308D"/>
    <w:rsid w:val="00493B20"/>
    <w:rsid w:val="00494A45"/>
    <w:rsid w:val="00494CCB"/>
    <w:rsid w:val="00495036"/>
    <w:rsid w:val="004A0360"/>
    <w:rsid w:val="004A2675"/>
    <w:rsid w:val="004A2F11"/>
    <w:rsid w:val="004A5AE9"/>
    <w:rsid w:val="004A65F8"/>
    <w:rsid w:val="004A6C4B"/>
    <w:rsid w:val="004A705F"/>
    <w:rsid w:val="004A7392"/>
    <w:rsid w:val="004A7432"/>
    <w:rsid w:val="004A7F3B"/>
    <w:rsid w:val="004B04E7"/>
    <w:rsid w:val="004B09BB"/>
    <w:rsid w:val="004B18F4"/>
    <w:rsid w:val="004B271B"/>
    <w:rsid w:val="004B2E19"/>
    <w:rsid w:val="004B3160"/>
    <w:rsid w:val="004B47C9"/>
    <w:rsid w:val="004B4BF1"/>
    <w:rsid w:val="004B59C4"/>
    <w:rsid w:val="004B7F50"/>
    <w:rsid w:val="004C16DF"/>
    <w:rsid w:val="004C47F8"/>
    <w:rsid w:val="004C5A5A"/>
    <w:rsid w:val="004C6DB4"/>
    <w:rsid w:val="004C7F86"/>
    <w:rsid w:val="004D18C6"/>
    <w:rsid w:val="004D2285"/>
    <w:rsid w:val="004D3F15"/>
    <w:rsid w:val="004D4941"/>
    <w:rsid w:val="004D7762"/>
    <w:rsid w:val="004D7967"/>
    <w:rsid w:val="004E13D0"/>
    <w:rsid w:val="004E18BA"/>
    <w:rsid w:val="004E29AC"/>
    <w:rsid w:val="004E33EB"/>
    <w:rsid w:val="004E452D"/>
    <w:rsid w:val="004E4BD2"/>
    <w:rsid w:val="004E501C"/>
    <w:rsid w:val="004E5317"/>
    <w:rsid w:val="004E6F31"/>
    <w:rsid w:val="004E7014"/>
    <w:rsid w:val="004E7B46"/>
    <w:rsid w:val="004F05B4"/>
    <w:rsid w:val="004F0CBC"/>
    <w:rsid w:val="004F250A"/>
    <w:rsid w:val="004F2672"/>
    <w:rsid w:val="004F34C2"/>
    <w:rsid w:val="004F3B19"/>
    <w:rsid w:val="004F3CD7"/>
    <w:rsid w:val="004F74E8"/>
    <w:rsid w:val="004F7774"/>
    <w:rsid w:val="004F7B34"/>
    <w:rsid w:val="004F7F50"/>
    <w:rsid w:val="00500FB4"/>
    <w:rsid w:val="005012D6"/>
    <w:rsid w:val="00501C3E"/>
    <w:rsid w:val="00502291"/>
    <w:rsid w:val="00502D1E"/>
    <w:rsid w:val="00504DBE"/>
    <w:rsid w:val="0050560D"/>
    <w:rsid w:val="00505CFE"/>
    <w:rsid w:val="00511504"/>
    <w:rsid w:val="005117F6"/>
    <w:rsid w:val="005137F8"/>
    <w:rsid w:val="005143D4"/>
    <w:rsid w:val="00515234"/>
    <w:rsid w:val="00515BB7"/>
    <w:rsid w:val="005226F6"/>
    <w:rsid w:val="00522ACA"/>
    <w:rsid w:val="00522FBF"/>
    <w:rsid w:val="00523C9C"/>
    <w:rsid w:val="00525952"/>
    <w:rsid w:val="00526525"/>
    <w:rsid w:val="00530EA4"/>
    <w:rsid w:val="00531D12"/>
    <w:rsid w:val="005320B3"/>
    <w:rsid w:val="00532745"/>
    <w:rsid w:val="0053358C"/>
    <w:rsid w:val="00533678"/>
    <w:rsid w:val="00533A0E"/>
    <w:rsid w:val="00533D8A"/>
    <w:rsid w:val="005343D9"/>
    <w:rsid w:val="0053442D"/>
    <w:rsid w:val="00534485"/>
    <w:rsid w:val="00534A0B"/>
    <w:rsid w:val="00534E4E"/>
    <w:rsid w:val="00534F84"/>
    <w:rsid w:val="005354D7"/>
    <w:rsid w:val="00535F1B"/>
    <w:rsid w:val="00540891"/>
    <w:rsid w:val="005427D7"/>
    <w:rsid w:val="00546508"/>
    <w:rsid w:val="00546513"/>
    <w:rsid w:val="0055117D"/>
    <w:rsid w:val="0055133E"/>
    <w:rsid w:val="00552EE1"/>
    <w:rsid w:val="005535CD"/>
    <w:rsid w:val="005554AC"/>
    <w:rsid w:val="005555DA"/>
    <w:rsid w:val="00556276"/>
    <w:rsid w:val="005563B6"/>
    <w:rsid w:val="00556CD2"/>
    <w:rsid w:val="005578B1"/>
    <w:rsid w:val="005579B4"/>
    <w:rsid w:val="00557A49"/>
    <w:rsid w:val="00560609"/>
    <w:rsid w:val="005608FC"/>
    <w:rsid w:val="00560A30"/>
    <w:rsid w:val="005628D6"/>
    <w:rsid w:val="00562A73"/>
    <w:rsid w:val="00564816"/>
    <w:rsid w:val="00565037"/>
    <w:rsid w:val="00565F51"/>
    <w:rsid w:val="00566314"/>
    <w:rsid w:val="00570816"/>
    <w:rsid w:val="00570BA5"/>
    <w:rsid w:val="00571119"/>
    <w:rsid w:val="00572AC7"/>
    <w:rsid w:val="00574454"/>
    <w:rsid w:val="0057532C"/>
    <w:rsid w:val="005763DE"/>
    <w:rsid w:val="00577033"/>
    <w:rsid w:val="00577F1E"/>
    <w:rsid w:val="00581A42"/>
    <w:rsid w:val="00582D4D"/>
    <w:rsid w:val="00583043"/>
    <w:rsid w:val="005839C0"/>
    <w:rsid w:val="00583AEC"/>
    <w:rsid w:val="00583FC1"/>
    <w:rsid w:val="00584403"/>
    <w:rsid w:val="00584D5D"/>
    <w:rsid w:val="00584E70"/>
    <w:rsid w:val="00585CAD"/>
    <w:rsid w:val="00587623"/>
    <w:rsid w:val="00587BD5"/>
    <w:rsid w:val="0059121C"/>
    <w:rsid w:val="005913B0"/>
    <w:rsid w:val="00591B6C"/>
    <w:rsid w:val="00592324"/>
    <w:rsid w:val="005935A8"/>
    <w:rsid w:val="005951BA"/>
    <w:rsid w:val="005A0894"/>
    <w:rsid w:val="005A105A"/>
    <w:rsid w:val="005A31A0"/>
    <w:rsid w:val="005A3D2A"/>
    <w:rsid w:val="005A4599"/>
    <w:rsid w:val="005B09BC"/>
    <w:rsid w:val="005B1DCE"/>
    <w:rsid w:val="005B22C3"/>
    <w:rsid w:val="005B275D"/>
    <w:rsid w:val="005B45AB"/>
    <w:rsid w:val="005B489F"/>
    <w:rsid w:val="005B6AB5"/>
    <w:rsid w:val="005B70AA"/>
    <w:rsid w:val="005B7B9A"/>
    <w:rsid w:val="005B7CF4"/>
    <w:rsid w:val="005C0102"/>
    <w:rsid w:val="005C0EC7"/>
    <w:rsid w:val="005C122D"/>
    <w:rsid w:val="005C1F59"/>
    <w:rsid w:val="005C23DD"/>
    <w:rsid w:val="005C2BBE"/>
    <w:rsid w:val="005C328C"/>
    <w:rsid w:val="005C32FA"/>
    <w:rsid w:val="005C3674"/>
    <w:rsid w:val="005C54E2"/>
    <w:rsid w:val="005D0509"/>
    <w:rsid w:val="005D0E1E"/>
    <w:rsid w:val="005D1349"/>
    <w:rsid w:val="005D1889"/>
    <w:rsid w:val="005D670E"/>
    <w:rsid w:val="005D6E89"/>
    <w:rsid w:val="005D7A50"/>
    <w:rsid w:val="005D7A70"/>
    <w:rsid w:val="005D7BC2"/>
    <w:rsid w:val="005E0345"/>
    <w:rsid w:val="005E0E8F"/>
    <w:rsid w:val="005E14B8"/>
    <w:rsid w:val="005E2BB4"/>
    <w:rsid w:val="005E3900"/>
    <w:rsid w:val="005E4530"/>
    <w:rsid w:val="005E4680"/>
    <w:rsid w:val="005E515F"/>
    <w:rsid w:val="005E61C4"/>
    <w:rsid w:val="005E7CFA"/>
    <w:rsid w:val="005E7F3B"/>
    <w:rsid w:val="005F0F52"/>
    <w:rsid w:val="005F162E"/>
    <w:rsid w:val="005F17EE"/>
    <w:rsid w:val="005F27B6"/>
    <w:rsid w:val="005F55AC"/>
    <w:rsid w:val="005F6B26"/>
    <w:rsid w:val="005F7AC0"/>
    <w:rsid w:val="0060181A"/>
    <w:rsid w:val="00601A3F"/>
    <w:rsid w:val="00601EAC"/>
    <w:rsid w:val="006024F7"/>
    <w:rsid w:val="006034BE"/>
    <w:rsid w:val="00605D01"/>
    <w:rsid w:val="00605E4B"/>
    <w:rsid w:val="00606355"/>
    <w:rsid w:val="006063D6"/>
    <w:rsid w:val="00606AB4"/>
    <w:rsid w:val="00606CA1"/>
    <w:rsid w:val="00607932"/>
    <w:rsid w:val="00607E74"/>
    <w:rsid w:val="006105DD"/>
    <w:rsid w:val="00610F9E"/>
    <w:rsid w:val="006116EA"/>
    <w:rsid w:val="00612021"/>
    <w:rsid w:val="00612E12"/>
    <w:rsid w:val="00612E68"/>
    <w:rsid w:val="0061346D"/>
    <w:rsid w:val="0061568B"/>
    <w:rsid w:val="00615DAE"/>
    <w:rsid w:val="00616BD4"/>
    <w:rsid w:val="0061704A"/>
    <w:rsid w:val="006214CC"/>
    <w:rsid w:val="00621C33"/>
    <w:rsid w:val="0062206C"/>
    <w:rsid w:val="0062285E"/>
    <w:rsid w:val="00623948"/>
    <w:rsid w:val="00624DC3"/>
    <w:rsid w:val="006255CF"/>
    <w:rsid w:val="006260AF"/>
    <w:rsid w:val="00627D6A"/>
    <w:rsid w:val="00627DB9"/>
    <w:rsid w:val="006307B2"/>
    <w:rsid w:val="00631208"/>
    <w:rsid w:val="00631F73"/>
    <w:rsid w:val="00632575"/>
    <w:rsid w:val="006331CE"/>
    <w:rsid w:val="00633F5D"/>
    <w:rsid w:val="00634462"/>
    <w:rsid w:val="00635544"/>
    <w:rsid w:val="0063590E"/>
    <w:rsid w:val="006377B4"/>
    <w:rsid w:val="00637908"/>
    <w:rsid w:val="00637AB8"/>
    <w:rsid w:val="0064071A"/>
    <w:rsid w:val="0064094E"/>
    <w:rsid w:val="00641057"/>
    <w:rsid w:val="006413BB"/>
    <w:rsid w:val="006422BB"/>
    <w:rsid w:val="006424D0"/>
    <w:rsid w:val="00643A05"/>
    <w:rsid w:val="00644842"/>
    <w:rsid w:val="00645ED1"/>
    <w:rsid w:val="0064654E"/>
    <w:rsid w:val="006472A5"/>
    <w:rsid w:val="006474FC"/>
    <w:rsid w:val="00647677"/>
    <w:rsid w:val="00647B7D"/>
    <w:rsid w:val="00647F8F"/>
    <w:rsid w:val="006501FB"/>
    <w:rsid w:val="006504BE"/>
    <w:rsid w:val="0065295F"/>
    <w:rsid w:val="00652FA8"/>
    <w:rsid w:val="0065452D"/>
    <w:rsid w:val="00655209"/>
    <w:rsid w:val="00660D43"/>
    <w:rsid w:val="00664523"/>
    <w:rsid w:val="00664A0E"/>
    <w:rsid w:val="00664B27"/>
    <w:rsid w:val="00665F64"/>
    <w:rsid w:val="0066767F"/>
    <w:rsid w:val="00671714"/>
    <w:rsid w:val="00673D62"/>
    <w:rsid w:val="0067404D"/>
    <w:rsid w:val="006743DC"/>
    <w:rsid w:val="0067450A"/>
    <w:rsid w:val="00674D8E"/>
    <w:rsid w:val="00675714"/>
    <w:rsid w:val="00680482"/>
    <w:rsid w:val="00680ABE"/>
    <w:rsid w:val="00680DF4"/>
    <w:rsid w:val="00681765"/>
    <w:rsid w:val="00681D5D"/>
    <w:rsid w:val="006830E7"/>
    <w:rsid w:val="006845AC"/>
    <w:rsid w:val="006855B9"/>
    <w:rsid w:val="00687EEC"/>
    <w:rsid w:val="006903CF"/>
    <w:rsid w:val="006909D2"/>
    <w:rsid w:val="00691CD5"/>
    <w:rsid w:val="00691CED"/>
    <w:rsid w:val="0069347D"/>
    <w:rsid w:val="00693957"/>
    <w:rsid w:val="006939FF"/>
    <w:rsid w:val="00695475"/>
    <w:rsid w:val="006965DD"/>
    <w:rsid w:val="00696BC5"/>
    <w:rsid w:val="006A01A6"/>
    <w:rsid w:val="006A0B6D"/>
    <w:rsid w:val="006A1B6B"/>
    <w:rsid w:val="006A23DD"/>
    <w:rsid w:val="006A2CFE"/>
    <w:rsid w:val="006A338F"/>
    <w:rsid w:val="006A34E6"/>
    <w:rsid w:val="006A3B9B"/>
    <w:rsid w:val="006A4AF3"/>
    <w:rsid w:val="006A52BC"/>
    <w:rsid w:val="006A6FB7"/>
    <w:rsid w:val="006A711E"/>
    <w:rsid w:val="006A7430"/>
    <w:rsid w:val="006A7A91"/>
    <w:rsid w:val="006B0069"/>
    <w:rsid w:val="006B08A3"/>
    <w:rsid w:val="006B2BD5"/>
    <w:rsid w:val="006B2CBF"/>
    <w:rsid w:val="006B3460"/>
    <w:rsid w:val="006B3FF0"/>
    <w:rsid w:val="006B558C"/>
    <w:rsid w:val="006B5835"/>
    <w:rsid w:val="006B5F8B"/>
    <w:rsid w:val="006B6403"/>
    <w:rsid w:val="006B6FF9"/>
    <w:rsid w:val="006C020E"/>
    <w:rsid w:val="006C0DCE"/>
    <w:rsid w:val="006C1496"/>
    <w:rsid w:val="006C216B"/>
    <w:rsid w:val="006C2314"/>
    <w:rsid w:val="006C5052"/>
    <w:rsid w:val="006C50BF"/>
    <w:rsid w:val="006C650C"/>
    <w:rsid w:val="006D0308"/>
    <w:rsid w:val="006D1A6F"/>
    <w:rsid w:val="006D2ECC"/>
    <w:rsid w:val="006D3300"/>
    <w:rsid w:val="006D3886"/>
    <w:rsid w:val="006D4F9F"/>
    <w:rsid w:val="006D547A"/>
    <w:rsid w:val="006D5C00"/>
    <w:rsid w:val="006E006D"/>
    <w:rsid w:val="006E038C"/>
    <w:rsid w:val="006E086F"/>
    <w:rsid w:val="006E0948"/>
    <w:rsid w:val="006E0D60"/>
    <w:rsid w:val="006E145D"/>
    <w:rsid w:val="006E19E6"/>
    <w:rsid w:val="006E22E6"/>
    <w:rsid w:val="006E23F9"/>
    <w:rsid w:val="006E3573"/>
    <w:rsid w:val="006E4478"/>
    <w:rsid w:val="006E5E51"/>
    <w:rsid w:val="006F1342"/>
    <w:rsid w:val="006F13A9"/>
    <w:rsid w:val="006F2195"/>
    <w:rsid w:val="006F505E"/>
    <w:rsid w:val="006F5408"/>
    <w:rsid w:val="006F5EB4"/>
    <w:rsid w:val="006F6B73"/>
    <w:rsid w:val="006F7D8D"/>
    <w:rsid w:val="00700B18"/>
    <w:rsid w:val="00702D5A"/>
    <w:rsid w:val="0070349F"/>
    <w:rsid w:val="007036D2"/>
    <w:rsid w:val="00703C81"/>
    <w:rsid w:val="00704788"/>
    <w:rsid w:val="00704C11"/>
    <w:rsid w:val="0070528B"/>
    <w:rsid w:val="00706C4B"/>
    <w:rsid w:val="007070FD"/>
    <w:rsid w:val="00707713"/>
    <w:rsid w:val="00707902"/>
    <w:rsid w:val="0071323D"/>
    <w:rsid w:val="00714643"/>
    <w:rsid w:val="00714B19"/>
    <w:rsid w:val="00716585"/>
    <w:rsid w:val="00716699"/>
    <w:rsid w:val="00720536"/>
    <w:rsid w:val="007246B6"/>
    <w:rsid w:val="00724E98"/>
    <w:rsid w:val="007252DF"/>
    <w:rsid w:val="00725961"/>
    <w:rsid w:val="00726BAF"/>
    <w:rsid w:val="00727969"/>
    <w:rsid w:val="0073053B"/>
    <w:rsid w:val="00730B57"/>
    <w:rsid w:val="00731CD1"/>
    <w:rsid w:val="0073315D"/>
    <w:rsid w:val="007344A8"/>
    <w:rsid w:val="00734BAA"/>
    <w:rsid w:val="00736878"/>
    <w:rsid w:val="00736901"/>
    <w:rsid w:val="0073709A"/>
    <w:rsid w:val="00740059"/>
    <w:rsid w:val="007402E1"/>
    <w:rsid w:val="00740B72"/>
    <w:rsid w:val="00741051"/>
    <w:rsid w:val="00742A89"/>
    <w:rsid w:val="00743561"/>
    <w:rsid w:val="007437FA"/>
    <w:rsid w:val="00744A3E"/>
    <w:rsid w:val="007468D9"/>
    <w:rsid w:val="00750AF9"/>
    <w:rsid w:val="00751445"/>
    <w:rsid w:val="007529EE"/>
    <w:rsid w:val="00754AC2"/>
    <w:rsid w:val="00757C22"/>
    <w:rsid w:val="007606EF"/>
    <w:rsid w:val="007607D8"/>
    <w:rsid w:val="007613FD"/>
    <w:rsid w:val="00761590"/>
    <w:rsid w:val="00761920"/>
    <w:rsid w:val="00761937"/>
    <w:rsid w:val="00761EDD"/>
    <w:rsid w:val="0076218C"/>
    <w:rsid w:val="00762434"/>
    <w:rsid w:val="007625A4"/>
    <w:rsid w:val="00765262"/>
    <w:rsid w:val="00766065"/>
    <w:rsid w:val="007662C1"/>
    <w:rsid w:val="00767094"/>
    <w:rsid w:val="00770888"/>
    <w:rsid w:val="00771A67"/>
    <w:rsid w:val="007738F8"/>
    <w:rsid w:val="007740EA"/>
    <w:rsid w:val="0077457C"/>
    <w:rsid w:val="00775CE5"/>
    <w:rsid w:val="007839C7"/>
    <w:rsid w:val="00784B8E"/>
    <w:rsid w:val="00785E77"/>
    <w:rsid w:val="00786654"/>
    <w:rsid w:val="00786A1C"/>
    <w:rsid w:val="00790897"/>
    <w:rsid w:val="00790C47"/>
    <w:rsid w:val="007919BA"/>
    <w:rsid w:val="00791B5F"/>
    <w:rsid w:val="00792740"/>
    <w:rsid w:val="0079333F"/>
    <w:rsid w:val="00794002"/>
    <w:rsid w:val="007942BD"/>
    <w:rsid w:val="00796642"/>
    <w:rsid w:val="0079765F"/>
    <w:rsid w:val="007A02B2"/>
    <w:rsid w:val="007A29D4"/>
    <w:rsid w:val="007A2CF4"/>
    <w:rsid w:val="007A4E80"/>
    <w:rsid w:val="007A535E"/>
    <w:rsid w:val="007A5EF9"/>
    <w:rsid w:val="007A6B9A"/>
    <w:rsid w:val="007A6D09"/>
    <w:rsid w:val="007B0AC2"/>
    <w:rsid w:val="007B2226"/>
    <w:rsid w:val="007B2AE7"/>
    <w:rsid w:val="007B2B88"/>
    <w:rsid w:val="007B5229"/>
    <w:rsid w:val="007B568E"/>
    <w:rsid w:val="007B7018"/>
    <w:rsid w:val="007B7FAA"/>
    <w:rsid w:val="007C0109"/>
    <w:rsid w:val="007C0370"/>
    <w:rsid w:val="007C153E"/>
    <w:rsid w:val="007C15B7"/>
    <w:rsid w:val="007C30EC"/>
    <w:rsid w:val="007C3A2C"/>
    <w:rsid w:val="007C5906"/>
    <w:rsid w:val="007C6B4A"/>
    <w:rsid w:val="007C6BB8"/>
    <w:rsid w:val="007C7C9C"/>
    <w:rsid w:val="007C7FC6"/>
    <w:rsid w:val="007D0210"/>
    <w:rsid w:val="007D0A67"/>
    <w:rsid w:val="007D2337"/>
    <w:rsid w:val="007D247A"/>
    <w:rsid w:val="007D250E"/>
    <w:rsid w:val="007D37EC"/>
    <w:rsid w:val="007D44FF"/>
    <w:rsid w:val="007D571C"/>
    <w:rsid w:val="007D6B27"/>
    <w:rsid w:val="007D733D"/>
    <w:rsid w:val="007D7D5B"/>
    <w:rsid w:val="007E0E52"/>
    <w:rsid w:val="007E1001"/>
    <w:rsid w:val="007E22FB"/>
    <w:rsid w:val="007E2820"/>
    <w:rsid w:val="007E2D65"/>
    <w:rsid w:val="007E33EE"/>
    <w:rsid w:val="007E4B64"/>
    <w:rsid w:val="007E7D0F"/>
    <w:rsid w:val="007E7D7B"/>
    <w:rsid w:val="007F036A"/>
    <w:rsid w:val="007F19C2"/>
    <w:rsid w:val="007F2442"/>
    <w:rsid w:val="007F46C7"/>
    <w:rsid w:val="007F48E9"/>
    <w:rsid w:val="00801DD8"/>
    <w:rsid w:val="008056B9"/>
    <w:rsid w:val="008067A2"/>
    <w:rsid w:val="00807AD0"/>
    <w:rsid w:val="00807D1D"/>
    <w:rsid w:val="00807DF4"/>
    <w:rsid w:val="00812865"/>
    <w:rsid w:val="00814476"/>
    <w:rsid w:val="0082061B"/>
    <w:rsid w:val="008207E3"/>
    <w:rsid w:val="00821072"/>
    <w:rsid w:val="00821AA0"/>
    <w:rsid w:val="00821D73"/>
    <w:rsid w:val="0082288C"/>
    <w:rsid w:val="00823DD6"/>
    <w:rsid w:val="00823E72"/>
    <w:rsid w:val="00823F41"/>
    <w:rsid w:val="00824975"/>
    <w:rsid w:val="00824D6B"/>
    <w:rsid w:val="00826085"/>
    <w:rsid w:val="00827A8D"/>
    <w:rsid w:val="008315BE"/>
    <w:rsid w:val="00831872"/>
    <w:rsid w:val="00834203"/>
    <w:rsid w:val="0083489E"/>
    <w:rsid w:val="00837171"/>
    <w:rsid w:val="0083741D"/>
    <w:rsid w:val="00837495"/>
    <w:rsid w:val="008374BB"/>
    <w:rsid w:val="00837B16"/>
    <w:rsid w:val="00843E6A"/>
    <w:rsid w:val="00844453"/>
    <w:rsid w:val="00844F9C"/>
    <w:rsid w:val="0084670E"/>
    <w:rsid w:val="00846D01"/>
    <w:rsid w:val="00850548"/>
    <w:rsid w:val="00851F2F"/>
    <w:rsid w:val="0085240C"/>
    <w:rsid w:val="00852D73"/>
    <w:rsid w:val="00853B7C"/>
    <w:rsid w:val="00854BEB"/>
    <w:rsid w:val="0085549D"/>
    <w:rsid w:val="008559E8"/>
    <w:rsid w:val="00855EBC"/>
    <w:rsid w:val="00857D07"/>
    <w:rsid w:val="00861375"/>
    <w:rsid w:val="0086194E"/>
    <w:rsid w:val="00862F24"/>
    <w:rsid w:val="00865C24"/>
    <w:rsid w:val="00866DD1"/>
    <w:rsid w:val="0086706A"/>
    <w:rsid w:val="00867567"/>
    <w:rsid w:val="00870A7A"/>
    <w:rsid w:val="00870ACA"/>
    <w:rsid w:val="00871D70"/>
    <w:rsid w:val="008724E9"/>
    <w:rsid w:val="008727F3"/>
    <w:rsid w:val="00872ABE"/>
    <w:rsid w:val="0087330E"/>
    <w:rsid w:val="008804F5"/>
    <w:rsid w:val="00880742"/>
    <w:rsid w:val="0088095C"/>
    <w:rsid w:val="00881315"/>
    <w:rsid w:val="008819B6"/>
    <w:rsid w:val="00883705"/>
    <w:rsid w:val="00883D95"/>
    <w:rsid w:val="00884478"/>
    <w:rsid w:val="00885A79"/>
    <w:rsid w:val="00885D1E"/>
    <w:rsid w:val="00887E27"/>
    <w:rsid w:val="00887F7B"/>
    <w:rsid w:val="0089088D"/>
    <w:rsid w:val="00890D49"/>
    <w:rsid w:val="0089244B"/>
    <w:rsid w:val="00892CC3"/>
    <w:rsid w:val="00893EAA"/>
    <w:rsid w:val="00895706"/>
    <w:rsid w:val="00896F5A"/>
    <w:rsid w:val="00897313"/>
    <w:rsid w:val="008A2251"/>
    <w:rsid w:val="008A30B8"/>
    <w:rsid w:val="008A3668"/>
    <w:rsid w:val="008A3C46"/>
    <w:rsid w:val="008A6AAC"/>
    <w:rsid w:val="008A7DA2"/>
    <w:rsid w:val="008B0588"/>
    <w:rsid w:val="008B1581"/>
    <w:rsid w:val="008B1ED0"/>
    <w:rsid w:val="008B41B4"/>
    <w:rsid w:val="008B6675"/>
    <w:rsid w:val="008B7379"/>
    <w:rsid w:val="008C048B"/>
    <w:rsid w:val="008C0604"/>
    <w:rsid w:val="008C13BD"/>
    <w:rsid w:val="008C2AF0"/>
    <w:rsid w:val="008C5319"/>
    <w:rsid w:val="008C5D5B"/>
    <w:rsid w:val="008C7593"/>
    <w:rsid w:val="008D007F"/>
    <w:rsid w:val="008D0744"/>
    <w:rsid w:val="008D1094"/>
    <w:rsid w:val="008D19C0"/>
    <w:rsid w:val="008D1AB4"/>
    <w:rsid w:val="008D4782"/>
    <w:rsid w:val="008D5C3D"/>
    <w:rsid w:val="008D6668"/>
    <w:rsid w:val="008D6912"/>
    <w:rsid w:val="008D7AD6"/>
    <w:rsid w:val="008E076B"/>
    <w:rsid w:val="008E15CA"/>
    <w:rsid w:val="008E212E"/>
    <w:rsid w:val="008E2CEB"/>
    <w:rsid w:val="008E2D32"/>
    <w:rsid w:val="008E3105"/>
    <w:rsid w:val="008E44FB"/>
    <w:rsid w:val="008E52A4"/>
    <w:rsid w:val="008E6080"/>
    <w:rsid w:val="008E7876"/>
    <w:rsid w:val="008F02CA"/>
    <w:rsid w:val="008F0652"/>
    <w:rsid w:val="008F0C3E"/>
    <w:rsid w:val="008F18FF"/>
    <w:rsid w:val="008F29A1"/>
    <w:rsid w:val="008F2F4B"/>
    <w:rsid w:val="008F4E66"/>
    <w:rsid w:val="008F7088"/>
    <w:rsid w:val="00900F69"/>
    <w:rsid w:val="009011DE"/>
    <w:rsid w:val="00901419"/>
    <w:rsid w:val="009034D9"/>
    <w:rsid w:val="00903F79"/>
    <w:rsid w:val="00904155"/>
    <w:rsid w:val="00905A29"/>
    <w:rsid w:val="00906A70"/>
    <w:rsid w:val="00907100"/>
    <w:rsid w:val="00907AFC"/>
    <w:rsid w:val="00910A25"/>
    <w:rsid w:val="0091156E"/>
    <w:rsid w:val="00914BED"/>
    <w:rsid w:val="009217A4"/>
    <w:rsid w:val="00922039"/>
    <w:rsid w:val="00922BA7"/>
    <w:rsid w:val="009258E1"/>
    <w:rsid w:val="00925F6A"/>
    <w:rsid w:val="00926A74"/>
    <w:rsid w:val="0092705A"/>
    <w:rsid w:val="00927C64"/>
    <w:rsid w:val="009305B2"/>
    <w:rsid w:val="009327F6"/>
    <w:rsid w:val="0093288B"/>
    <w:rsid w:val="0093384E"/>
    <w:rsid w:val="0093422C"/>
    <w:rsid w:val="009347AA"/>
    <w:rsid w:val="0093550A"/>
    <w:rsid w:val="0093570D"/>
    <w:rsid w:val="00935AF3"/>
    <w:rsid w:val="00936E91"/>
    <w:rsid w:val="009410A3"/>
    <w:rsid w:val="0094142B"/>
    <w:rsid w:val="00941DD4"/>
    <w:rsid w:val="0094218B"/>
    <w:rsid w:val="00942915"/>
    <w:rsid w:val="00943181"/>
    <w:rsid w:val="009449BA"/>
    <w:rsid w:val="00944FF5"/>
    <w:rsid w:val="0094616F"/>
    <w:rsid w:val="009465BB"/>
    <w:rsid w:val="00947DC8"/>
    <w:rsid w:val="00950187"/>
    <w:rsid w:val="0095040A"/>
    <w:rsid w:val="00951FF7"/>
    <w:rsid w:val="009520CD"/>
    <w:rsid w:val="009525A5"/>
    <w:rsid w:val="00953ADA"/>
    <w:rsid w:val="00953AF7"/>
    <w:rsid w:val="00955560"/>
    <w:rsid w:val="00955888"/>
    <w:rsid w:val="00955C9C"/>
    <w:rsid w:val="00957AC8"/>
    <w:rsid w:val="00957BF2"/>
    <w:rsid w:val="0096005F"/>
    <w:rsid w:val="009606BC"/>
    <w:rsid w:val="00962614"/>
    <w:rsid w:val="0096448C"/>
    <w:rsid w:val="0096558B"/>
    <w:rsid w:val="0097082F"/>
    <w:rsid w:val="009709B5"/>
    <w:rsid w:val="00970C9C"/>
    <w:rsid w:val="00971D28"/>
    <w:rsid w:val="00972503"/>
    <w:rsid w:val="00972DE9"/>
    <w:rsid w:val="00972E1B"/>
    <w:rsid w:val="009737D9"/>
    <w:rsid w:val="00974429"/>
    <w:rsid w:val="00975AFC"/>
    <w:rsid w:val="00975D68"/>
    <w:rsid w:val="00977308"/>
    <w:rsid w:val="00980601"/>
    <w:rsid w:val="00980904"/>
    <w:rsid w:val="00981E10"/>
    <w:rsid w:val="00984397"/>
    <w:rsid w:val="00984710"/>
    <w:rsid w:val="009849AD"/>
    <w:rsid w:val="00985EC4"/>
    <w:rsid w:val="009907CB"/>
    <w:rsid w:val="00992310"/>
    <w:rsid w:val="0099239F"/>
    <w:rsid w:val="009925A3"/>
    <w:rsid w:val="009949D6"/>
    <w:rsid w:val="00994C7A"/>
    <w:rsid w:val="0099653E"/>
    <w:rsid w:val="00997EFE"/>
    <w:rsid w:val="009A1853"/>
    <w:rsid w:val="009A1C0A"/>
    <w:rsid w:val="009A6AD2"/>
    <w:rsid w:val="009A6C70"/>
    <w:rsid w:val="009B1394"/>
    <w:rsid w:val="009B149A"/>
    <w:rsid w:val="009B217D"/>
    <w:rsid w:val="009B39DA"/>
    <w:rsid w:val="009B5FFF"/>
    <w:rsid w:val="009B6055"/>
    <w:rsid w:val="009B62C9"/>
    <w:rsid w:val="009B6658"/>
    <w:rsid w:val="009B7F29"/>
    <w:rsid w:val="009C0240"/>
    <w:rsid w:val="009C05C5"/>
    <w:rsid w:val="009C0EBD"/>
    <w:rsid w:val="009C2311"/>
    <w:rsid w:val="009C4655"/>
    <w:rsid w:val="009C502B"/>
    <w:rsid w:val="009C6C78"/>
    <w:rsid w:val="009D1B36"/>
    <w:rsid w:val="009D3AE5"/>
    <w:rsid w:val="009D61CF"/>
    <w:rsid w:val="009D7080"/>
    <w:rsid w:val="009D7D97"/>
    <w:rsid w:val="009E0DC7"/>
    <w:rsid w:val="009E1405"/>
    <w:rsid w:val="009E1B41"/>
    <w:rsid w:val="009E2FF9"/>
    <w:rsid w:val="009E3613"/>
    <w:rsid w:val="009E4857"/>
    <w:rsid w:val="009E4B31"/>
    <w:rsid w:val="009E5EDB"/>
    <w:rsid w:val="009E6E64"/>
    <w:rsid w:val="009F0847"/>
    <w:rsid w:val="009F1EE7"/>
    <w:rsid w:val="009F2D02"/>
    <w:rsid w:val="009F36B6"/>
    <w:rsid w:val="009F4538"/>
    <w:rsid w:val="009F4E33"/>
    <w:rsid w:val="00A0217E"/>
    <w:rsid w:val="00A027E6"/>
    <w:rsid w:val="00A02825"/>
    <w:rsid w:val="00A02A9D"/>
    <w:rsid w:val="00A02CEC"/>
    <w:rsid w:val="00A0366F"/>
    <w:rsid w:val="00A0426B"/>
    <w:rsid w:val="00A043FA"/>
    <w:rsid w:val="00A05DA3"/>
    <w:rsid w:val="00A0665D"/>
    <w:rsid w:val="00A0687F"/>
    <w:rsid w:val="00A06908"/>
    <w:rsid w:val="00A10118"/>
    <w:rsid w:val="00A11089"/>
    <w:rsid w:val="00A1241B"/>
    <w:rsid w:val="00A12EDC"/>
    <w:rsid w:val="00A13876"/>
    <w:rsid w:val="00A14CF1"/>
    <w:rsid w:val="00A165F9"/>
    <w:rsid w:val="00A16D7D"/>
    <w:rsid w:val="00A17255"/>
    <w:rsid w:val="00A2128E"/>
    <w:rsid w:val="00A21C66"/>
    <w:rsid w:val="00A22112"/>
    <w:rsid w:val="00A22464"/>
    <w:rsid w:val="00A22AD6"/>
    <w:rsid w:val="00A23569"/>
    <w:rsid w:val="00A248ED"/>
    <w:rsid w:val="00A24D24"/>
    <w:rsid w:val="00A25603"/>
    <w:rsid w:val="00A25EDC"/>
    <w:rsid w:val="00A25FED"/>
    <w:rsid w:val="00A26991"/>
    <w:rsid w:val="00A2712B"/>
    <w:rsid w:val="00A3156D"/>
    <w:rsid w:val="00A31BD5"/>
    <w:rsid w:val="00A32466"/>
    <w:rsid w:val="00A32A2B"/>
    <w:rsid w:val="00A36A22"/>
    <w:rsid w:val="00A37F7F"/>
    <w:rsid w:val="00A41BF1"/>
    <w:rsid w:val="00A428F7"/>
    <w:rsid w:val="00A44106"/>
    <w:rsid w:val="00A45BF4"/>
    <w:rsid w:val="00A4678E"/>
    <w:rsid w:val="00A4770E"/>
    <w:rsid w:val="00A50DA7"/>
    <w:rsid w:val="00A51B48"/>
    <w:rsid w:val="00A5372C"/>
    <w:rsid w:val="00A53ACC"/>
    <w:rsid w:val="00A54D58"/>
    <w:rsid w:val="00A54D77"/>
    <w:rsid w:val="00A55558"/>
    <w:rsid w:val="00A56470"/>
    <w:rsid w:val="00A573CD"/>
    <w:rsid w:val="00A57AAC"/>
    <w:rsid w:val="00A57E59"/>
    <w:rsid w:val="00A61F42"/>
    <w:rsid w:val="00A6209C"/>
    <w:rsid w:val="00A62489"/>
    <w:rsid w:val="00A6253D"/>
    <w:rsid w:val="00A62F0C"/>
    <w:rsid w:val="00A636F5"/>
    <w:rsid w:val="00A63E23"/>
    <w:rsid w:val="00A641B6"/>
    <w:rsid w:val="00A64A09"/>
    <w:rsid w:val="00A65225"/>
    <w:rsid w:val="00A66076"/>
    <w:rsid w:val="00A6612D"/>
    <w:rsid w:val="00A66A16"/>
    <w:rsid w:val="00A67353"/>
    <w:rsid w:val="00A701ED"/>
    <w:rsid w:val="00A70F9E"/>
    <w:rsid w:val="00A71C92"/>
    <w:rsid w:val="00A7244E"/>
    <w:rsid w:val="00A73B73"/>
    <w:rsid w:val="00A747A6"/>
    <w:rsid w:val="00A756CD"/>
    <w:rsid w:val="00A75C9F"/>
    <w:rsid w:val="00A77774"/>
    <w:rsid w:val="00A8407F"/>
    <w:rsid w:val="00A8424E"/>
    <w:rsid w:val="00A848A8"/>
    <w:rsid w:val="00A84C86"/>
    <w:rsid w:val="00A84EA0"/>
    <w:rsid w:val="00A84ED7"/>
    <w:rsid w:val="00A86F51"/>
    <w:rsid w:val="00A87C81"/>
    <w:rsid w:val="00A87ED6"/>
    <w:rsid w:val="00A91B77"/>
    <w:rsid w:val="00A92678"/>
    <w:rsid w:val="00A92713"/>
    <w:rsid w:val="00A961E1"/>
    <w:rsid w:val="00A96E1D"/>
    <w:rsid w:val="00A97FE8"/>
    <w:rsid w:val="00AA11A2"/>
    <w:rsid w:val="00AA3A4E"/>
    <w:rsid w:val="00AA3A70"/>
    <w:rsid w:val="00AA5A13"/>
    <w:rsid w:val="00AA605A"/>
    <w:rsid w:val="00AA7C9C"/>
    <w:rsid w:val="00AB03F8"/>
    <w:rsid w:val="00AB0F3C"/>
    <w:rsid w:val="00AB1390"/>
    <w:rsid w:val="00AB24F5"/>
    <w:rsid w:val="00AB2E49"/>
    <w:rsid w:val="00AB3660"/>
    <w:rsid w:val="00AB380A"/>
    <w:rsid w:val="00AB4A9E"/>
    <w:rsid w:val="00AB536C"/>
    <w:rsid w:val="00AB5C3A"/>
    <w:rsid w:val="00AB691D"/>
    <w:rsid w:val="00AB70FD"/>
    <w:rsid w:val="00AB7435"/>
    <w:rsid w:val="00AC03B0"/>
    <w:rsid w:val="00AC04F3"/>
    <w:rsid w:val="00AC1894"/>
    <w:rsid w:val="00AC247E"/>
    <w:rsid w:val="00AC359D"/>
    <w:rsid w:val="00AC3B27"/>
    <w:rsid w:val="00AC3BB6"/>
    <w:rsid w:val="00AC3EA7"/>
    <w:rsid w:val="00AC6981"/>
    <w:rsid w:val="00AC7300"/>
    <w:rsid w:val="00AD0AA6"/>
    <w:rsid w:val="00AD0DD8"/>
    <w:rsid w:val="00AD12A6"/>
    <w:rsid w:val="00AD165A"/>
    <w:rsid w:val="00AD2C78"/>
    <w:rsid w:val="00AD2E8B"/>
    <w:rsid w:val="00AD3606"/>
    <w:rsid w:val="00AD3754"/>
    <w:rsid w:val="00AD4F0D"/>
    <w:rsid w:val="00AD6CA3"/>
    <w:rsid w:val="00AD7F49"/>
    <w:rsid w:val="00AE0C49"/>
    <w:rsid w:val="00AE0D82"/>
    <w:rsid w:val="00AE0F45"/>
    <w:rsid w:val="00AE1CA5"/>
    <w:rsid w:val="00AE1CCE"/>
    <w:rsid w:val="00AE1DD3"/>
    <w:rsid w:val="00AE2060"/>
    <w:rsid w:val="00AE26B6"/>
    <w:rsid w:val="00AE305C"/>
    <w:rsid w:val="00AE313D"/>
    <w:rsid w:val="00AE3DF2"/>
    <w:rsid w:val="00AE516D"/>
    <w:rsid w:val="00AE5172"/>
    <w:rsid w:val="00AE702B"/>
    <w:rsid w:val="00AF3589"/>
    <w:rsid w:val="00AF38AB"/>
    <w:rsid w:val="00AF4E05"/>
    <w:rsid w:val="00AF5406"/>
    <w:rsid w:val="00AF7FDD"/>
    <w:rsid w:val="00B00E87"/>
    <w:rsid w:val="00B018C1"/>
    <w:rsid w:val="00B05469"/>
    <w:rsid w:val="00B061A2"/>
    <w:rsid w:val="00B07E6A"/>
    <w:rsid w:val="00B10118"/>
    <w:rsid w:val="00B118A5"/>
    <w:rsid w:val="00B11B24"/>
    <w:rsid w:val="00B11FE2"/>
    <w:rsid w:val="00B13F63"/>
    <w:rsid w:val="00B1444F"/>
    <w:rsid w:val="00B14DCF"/>
    <w:rsid w:val="00B150EF"/>
    <w:rsid w:val="00B1568C"/>
    <w:rsid w:val="00B16364"/>
    <w:rsid w:val="00B171FB"/>
    <w:rsid w:val="00B211F7"/>
    <w:rsid w:val="00B21AED"/>
    <w:rsid w:val="00B21CA5"/>
    <w:rsid w:val="00B242EA"/>
    <w:rsid w:val="00B24CD0"/>
    <w:rsid w:val="00B2763F"/>
    <w:rsid w:val="00B30571"/>
    <w:rsid w:val="00B31D4F"/>
    <w:rsid w:val="00B31E76"/>
    <w:rsid w:val="00B347B3"/>
    <w:rsid w:val="00B34A78"/>
    <w:rsid w:val="00B36A42"/>
    <w:rsid w:val="00B370B7"/>
    <w:rsid w:val="00B410C9"/>
    <w:rsid w:val="00B41AEB"/>
    <w:rsid w:val="00B42E18"/>
    <w:rsid w:val="00B4321F"/>
    <w:rsid w:val="00B441D0"/>
    <w:rsid w:val="00B44F24"/>
    <w:rsid w:val="00B46995"/>
    <w:rsid w:val="00B53AD7"/>
    <w:rsid w:val="00B54134"/>
    <w:rsid w:val="00B54561"/>
    <w:rsid w:val="00B54DC1"/>
    <w:rsid w:val="00B5518C"/>
    <w:rsid w:val="00B55E3C"/>
    <w:rsid w:val="00B5726F"/>
    <w:rsid w:val="00B60FEF"/>
    <w:rsid w:val="00B6131F"/>
    <w:rsid w:val="00B61F96"/>
    <w:rsid w:val="00B6282A"/>
    <w:rsid w:val="00B62C2F"/>
    <w:rsid w:val="00B654BF"/>
    <w:rsid w:val="00B66198"/>
    <w:rsid w:val="00B67F16"/>
    <w:rsid w:val="00B7156D"/>
    <w:rsid w:val="00B71731"/>
    <w:rsid w:val="00B724AC"/>
    <w:rsid w:val="00B75E09"/>
    <w:rsid w:val="00B767C8"/>
    <w:rsid w:val="00B76D2C"/>
    <w:rsid w:val="00B76FAD"/>
    <w:rsid w:val="00B813CD"/>
    <w:rsid w:val="00B81770"/>
    <w:rsid w:val="00B81B3D"/>
    <w:rsid w:val="00B83A79"/>
    <w:rsid w:val="00B857BA"/>
    <w:rsid w:val="00B85D67"/>
    <w:rsid w:val="00B86806"/>
    <w:rsid w:val="00B86F0A"/>
    <w:rsid w:val="00B91A02"/>
    <w:rsid w:val="00B92C25"/>
    <w:rsid w:val="00B93672"/>
    <w:rsid w:val="00B93FBF"/>
    <w:rsid w:val="00B94408"/>
    <w:rsid w:val="00B95A32"/>
    <w:rsid w:val="00B95ED9"/>
    <w:rsid w:val="00B97AF3"/>
    <w:rsid w:val="00B97E0E"/>
    <w:rsid w:val="00BA0E97"/>
    <w:rsid w:val="00BA1143"/>
    <w:rsid w:val="00BA38A8"/>
    <w:rsid w:val="00BA4A19"/>
    <w:rsid w:val="00BA7BD2"/>
    <w:rsid w:val="00BB098E"/>
    <w:rsid w:val="00BB1192"/>
    <w:rsid w:val="00BB199E"/>
    <w:rsid w:val="00BB2C1B"/>
    <w:rsid w:val="00BB2D4A"/>
    <w:rsid w:val="00BB337B"/>
    <w:rsid w:val="00BB6EF6"/>
    <w:rsid w:val="00BC0634"/>
    <w:rsid w:val="00BC0BE9"/>
    <w:rsid w:val="00BC3B10"/>
    <w:rsid w:val="00BC575C"/>
    <w:rsid w:val="00BC6B86"/>
    <w:rsid w:val="00BC7449"/>
    <w:rsid w:val="00BD177D"/>
    <w:rsid w:val="00BD213D"/>
    <w:rsid w:val="00BD27A4"/>
    <w:rsid w:val="00BD5FC7"/>
    <w:rsid w:val="00BD6C71"/>
    <w:rsid w:val="00BD6EBB"/>
    <w:rsid w:val="00BE1553"/>
    <w:rsid w:val="00BE2DAB"/>
    <w:rsid w:val="00BE487E"/>
    <w:rsid w:val="00BE4C59"/>
    <w:rsid w:val="00BE5FA1"/>
    <w:rsid w:val="00BE6710"/>
    <w:rsid w:val="00BE7256"/>
    <w:rsid w:val="00BF0F35"/>
    <w:rsid w:val="00BF19D8"/>
    <w:rsid w:val="00BF2426"/>
    <w:rsid w:val="00BF3085"/>
    <w:rsid w:val="00BF4BC0"/>
    <w:rsid w:val="00BF617D"/>
    <w:rsid w:val="00BF61E9"/>
    <w:rsid w:val="00BF674C"/>
    <w:rsid w:val="00C001BA"/>
    <w:rsid w:val="00C007C6"/>
    <w:rsid w:val="00C0137A"/>
    <w:rsid w:val="00C01BDE"/>
    <w:rsid w:val="00C028B0"/>
    <w:rsid w:val="00C03531"/>
    <w:rsid w:val="00C03CFB"/>
    <w:rsid w:val="00C03D10"/>
    <w:rsid w:val="00C044F7"/>
    <w:rsid w:val="00C0492E"/>
    <w:rsid w:val="00C04E32"/>
    <w:rsid w:val="00C05CD9"/>
    <w:rsid w:val="00C1076E"/>
    <w:rsid w:val="00C110DB"/>
    <w:rsid w:val="00C11FBE"/>
    <w:rsid w:val="00C1336A"/>
    <w:rsid w:val="00C13403"/>
    <w:rsid w:val="00C13818"/>
    <w:rsid w:val="00C17367"/>
    <w:rsid w:val="00C17A76"/>
    <w:rsid w:val="00C17D79"/>
    <w:rsid w:val="00C201BF"/>
    <w:rsid w:val="00C21005"/>
    <w:rsid w:val="00C22AD8"/>
    <w:rsid w:val="00C231A5"/>
    <w:rsid w:val="00C23848"/>
    <w:rsid w:val="00C23D0B"/>
    <w:rsid w:val="00C24A07"/>
    <w:rsid w:val="00C2521C"/>
    <w:rsid w:val="00C25D98"/>
    <w:rsid w:val="00C33899"/>
    <w:rsid w:val="00C355DC"/>
    <w:rsid w:val="00C35C6E"/>
    <w:rsid w:val="00C36B37"/>
    <w:rsid w:val="00C372A8"/>
    <w:rsid w:val="00C408A1"/>
    <w:rsid w:val="00C411FD"/>
    <w:rsid w:val="00C4414B"/>
    <w:rsid w:val="00C4494E"/>
    <w:rsid w:val="00C46B4D"/>
    <w:rsid w:val="00C46DFA"/>
    <w:rsid w:val="00C47A4B"/>
    <w:rsid w:val="00C51504"/>
    <w:rsid w:val="00C53DA4"/>
    <w:rsid w:val="00C54E41"/>
    <w:rsid w:val="00C56401"/>
    <w:rsid w:val="00C60D7C"/>
    <w:rsid w:val="00C61289"/>
    <w:rsid w:val="00C61CF5"/>
    <w:rsid w:val="00C62BAE"/>
    <w:rsid w:val="00C64CD1"/>
    <w:rsid w:val="00C652F9"/>
    <w:rsid w:val="00C654C4"/>
    <w:rsid w:val="00C659BE"/>
    <w:rsid w:val="00C66C34"/>
    <w:rsid w:val="00C670FA"/>
    <w:rsid w:val="00C7099B"/>
    <w:rsid w:val="00C7254F"/>
    <w:rsid w:val="00C733BE"/>
    <w:rsid w:val="00C73998"/>
    <w:rsid w:val="00C767A8"/>
    <w:rsid w:val="00C80A94"/>
    <w:rsid w:val="00C80AB7"/>
    <w:rsid w:val="00C80F9B"/>
    <w:rsid w:val="00C822D6"/>
    <w:rsid w:val="00C82749"/>
    <w:rsid w:val="00C83124"/>
    <w:rsid w:val="00C835D6"/>
    <w:rsid w:val="00C856F3"/>
    <w:rsid w:val="00C90433"/>
    <w:rsid w:val="00C90A94"/>
    <w:rsid w:val="00C93175"/>
    <w:rsid w:val="00C93DBC"/>
    <w:rsid w:val="00C94ADF"/>
    <w:rsid w:val="00C95C72"/>
    <w:rsid w:val="00C96F8B"/>
    <w:rsid w:val="00C9733D"/>
    <w:rsid w:val="00C97A9B"/>
    <w:rsid w:val="00CA098B"/>
    <w:rsid w:val="00CA199C"/>
    <w:rsid w:val="00CA3B99"/>
    <w:rsid w:val="00CA3C05"/>
    <w:rsid w:val="00CA476B"/>
    <w:rsid w:val="00CA4844"/>
    <w:rsid w:val="00CA4E30"/>
    <w:rsid w:val="00CA60A4"/>
    <w:rsid w:val="00CB099D"/>
    <w:rsid w:val="00CB1077"/>
    <w:rsid w:val="00CB2C96"/>
    <w:rsid w:val="00CB53C4"/>
    <w:rsid w:val="00CB5FBF"/>
    <w:rsid w:val="00CB7B24"/>
    <w:rsid w:val="00CC0C69"/>
    <w:rsid w:val="00CC0DE2"/>
    <w:rsid w:val="00CC262E"/>
    <w:rsid w:val="00CC2710"/>
    <w:rsid w:val="00CC2E19"/>
    <w:rsid w:val="00CC3B17"/>
    <w:rsid w:val="00CC47B9"/>
    <w:rsid w:val="00CC5810"/>
    <w:rsid w:val="00CC7E36"/>
    <w:rsid w:val="00CD2B22"/>
    <w:rsid w:val="00CD56D1"/>
    <w:rsid w:val="00CD666C"/>
    <w:rsid w:val="00CD6EC8"/>
    <w:rsid w:val="00CD70B9"/>
    <w:rsid w:val="00CD777F"/>
    <w:rsid w:val="00CE12A3"/>
    <w:rsid w:val="00CE1AC1"/>
    <w:rsid w:val="00CE48DB"/>
    <w:rsid w:val="00CE6E79"/>
    <w:rsid w:val="00CE6EB5"/>
    <w:rsid w:val="00CE7EAE"/>
    <w:rsid w:val="00CF000A"/>
    <w:rsid w:val="00CF02D6"/>
    <w:rsid w:val="00CF0A1D"/>
    <w:rsid w:val="00CF17FD"/>
    <w:rsid w:val="00CF23DF"/>
    <w:rsid w:val="00CF24E0"/>
    <w:rsid w:val="00CF3354"/>
    <w:rsid w:val="00CF47AB"/>
    <w:rsid w:val="00CF516B"/>
    <w:rsid w:val="00CF6824"/>
    <w:rsid w:val="00CF75B9"/>
    <w:rsid w:val="00D01AA4"/>
    <w:rsid w:val="00D01DD3"/>
    <w:rsid w:val="00D02B8A"/>
    <w:rsid w:val="00D03984"/>
    <w:rsid w:val="00D0563C"/>
    <w:rsid w:val="00D06D86"/>
    <w:rsid w:val="00D075A3"/>
    <w:rsid w:val="00D078A6"/>
    <w:rsid w:val="00D124FF"/>
    <w:rsid w:val="00D127CC"/>
    <w:rsid w:val="00D12CDA"/>
    <w:rsid w:val="00D163D7"/>
    <w:rsid w:val="00D166AB"/>
    <w:rsid w:val="00D16D32"/>
    <w:rsid w:val="00D17011"/>
    <w:rsid w:val="00D1709F"/>
    <w:rsid w:val="00D20752"/>
    <w:rsid w:val="00D211FF"/>
    <w:rsid w:val="00D21A11"/>
    <w:rsid w:val="00D21A47"/>
    <w:rsid w:val="00D24961"/>
    <w:rsid w:val="00D26632"/>
    <w:rsid w:val="00D26648"/>
    <w:rsid w:val="00D2710F"/>
    <w:rsid w:val="00D32219"/>
    <w:rsid w:val="00D32826"/>
    <w:rsid w:val="00D3497C"/>
    <w:rsid w:val="00D34E6B"/>
    <w:rsid w:val="00D35691"/>
    <w:rsid w:val="00D372C9"/>
    <w:rsid w:val="00D37FEE"/>
    <w:rsid w:val="00D4092A"/>
    <w:rsid w:val="00D41BE6"/>
    <w:rsid w:val="00D438B0"/>
    <w:rsid w:val="00D43CEB"/>
    <w:rsid w:val="00D46368"/>
    <w:rsid w:val="00D47C78"/>
    <w:rsid w:val="00D47E15"/>
    <w:rsid w:val="00D51535"/>
    <w:rsid w:val="00D51850"/>
    <w:rsid w:val="00D524CC"/>
    <w:rsid w:val="00D52FCB"/>
    <w:rsid w:val="00D5582E"/>
    <w:rsid w:val="00D615A0"/>
    <w:rsid w:val="00D61EEC"/>
    <w:rsid w:val="00D62640"/>
    <w:rsid w:val="00D62722"/>
    <w:rsid w:val="00D63B7D"/>
    <w:rsid w:val="00D641FC"/>
    <w:rsid w:val="00D65A54"/>
    <w:rsid w:val="00D65AE9"/>
    <w:rsid w:val="00D65C70"/>
    <w:rsid w:val="00D66DC6"/>
    <w:rsid w:val="00D673AA"/>
    <w:rsid w:val="00D7026F"/>
    <w:rsid w:val="00D70D64"/>
    <w:rsid w:val="00D72695"/>
    <w:rsid w:val="00D7490B"/>
    <w:rsid w:val="00D74D6B"/>
    <w:rsid w:val="00D77301"/>
    <w:rsid w:val="00D800A7"/>
    <w:rsid w:val="00D80CCA"/>
    <w:rsid w:val="00D837D8"/>
    <w:rsid w:val="00D85158"/>
    <w:rsid w:val="00D860AD"/>
    <w:rsid w:val="00D86806"/>
    <w:rsid w:val="00D87628"/>
    <w:rsid w:val="00D91FBF"/>
    <w:rsid w:val="00D928D0"/>
    <w:rsid w:val="00D967A7"/>
    <w:rsid w:val="00D96921"/>
    <w:rsid w:val="00D96D5D"/>
    <w:rsid w:val="00D97C3B"/>
    <w:rsid w:val="00DA15C2"/>
    <w:rsid w:val="00DA2306"/>
    <w:rsid w:val="00DA4512"/>
    <w:rsid w:val="00DA710B"/>
    <w:rsid w:val="00DA7662"/>
    <w:rsid w:val="00DA7722"/>
    <w:rsid w:val="00DA7DD7"/>
    <w:rsid w:val="00DB0C74"/>
    <w:rsid w:val="00DB0D1D"/>
    <w:rsid w:val="00DB4704"/>
    <w:rsid w:val="00DB5A2F"/>
    <w:rsid w:val="00DB66C9"/>
    <w:rsid w:val="00DB717B"/>
    <w:rsid w:val="00DB71D7"/>
    <w:rsid w:val="00DB7B26"/>
    <w:rsid w:val="00DB7F49"/>
    <w:rsid w:val="00DC087D"/>
    <w:rsid w:val="00DC094E"/>
    <w:rsid w:val="00DC097F"/>
    <w:rsid w:val="00DC0EC7"/>
    <w:rsid w:val="00DC2BE0"/>
    <w:rsid w:val="00DC3525"/>
    <w:rsid w:val="00DC3BD4"/>
    <w:rsid w:val="00DC3DDE"/>
    <w:rsid w:val="00DC48AE"/>
    <w:rsid w:val="00DC497B"/>
    <w:rsid w:val="00DC526A"/>
    <w:rsid w:val="00DC5B2F"/>
    <w:rsid w:val="00DC6570"/>
    <w:rsid w:val="00DD0279"/>
    <w:rsid w:val="00DD095B"/>
    <w:rsid w:val="00DD3CB5"/>
    <w:rsid w:val="00DD43FB"/>
    <w:rsid w:val="00DD4E5C"/>
    <w:rsid w:val="00DD5320"/>
    <w:rsid w:val="00DD5AD7"/>
    <w:rsid w:val="00DD726A"/>
    <w:rsid w:val="00DD773B"/>
    <w:rsid w:val="00DD7F8F"/>
    <w:rsid w:val="00DE01DE"/>
    <w:rsid w:val="00DE0EC7"/>
    <w:rsid w:val="00DE1693"/>
    <w:rsid w:val="00DE3C07"/>
    <w:rsid w:val="00DE4BA3"/>
    <w:rsid w:val="00DF0F95"/>
    <w:rsid w:val="00DF113C"/>
    <w:rsid w:val="00DF1884"/>
    <w:rsid w:val="00DF2189"/>
    <w:rsid w:val="00DF21CE"/>
    <w:rsid w:val="00DF2D6D"/>
    <w:rsid w:val="00DF385B"/>
    <w:rsid w:val="00DF3A9E"/>
    <w:rsid w:val="00DF4C6B"/>
    <w:rsid w:val="00DF4CE5"/>
    <w:rsid w:val="00DF4EAE"/>
    <w:rsid w:val="00DF58C9"/>
    <w:rsid w:val="00DF6034"/>
    <w:rsid w:val="00DF614D"/>
    <w:rsid w:val="00DF6EF6"/>
    <w:rsid w:val="00E00D04"/>
    <w:rsid w:val="00E016A5"/>
    <w:rsid w:val="00E020D9"/>
    <w:rsid w:val="00E034CD"/>
    <w:rsid w:val="00E03C2C"/>
    <w:rsid w:val="00E05B3C"/>
    <w:rsid w:val="00E065C1"/>
    <w:rsid w:val="00E066CD"/>
    <w:rsid w:val="00E0713C"/>
    <w:rsid w:val="00E10CD5"/>
    <w:rsid w:val="00E11DEE"/>
    <w:rsid w:val="00E12149"/>
    <w:rsid w:val="00E13208"/>
    <w:rsid w:val="00E14001"/>
    <w:rsid w:val="00E14FB3"/>
    <w:rsid w:val="00E1568F"/>
    <w:rsid w:val="00E20091"/>
    <w:rsid w:val="00E202D6"/>
    <w:rsid w:val="00E218F4"/>
    <w:rsid w:val="00E2204B"/>
    <w:rsid w:val="00E22F6C"/>
    <w:rsid w:val="00E23381"/>
    <w:rsid w:val="00E23649"/>
    <w:rsid w:val="00E23C4C"/>
    <w:rsid w:val="00E23E60"/>
    <w:rsid w:val="00E24859"/>
    <w:rsid w:val="00E24CBD"/>
    <w:rsid w:val="00E25FBE"/>
    <w:rsid w:val="00E26006"/>
    <w:rsid w:val="00E26691"/>
    <w:rsid w:val="00E26958"/>
    <w:rsid w:val="00E273E3"/>
    <w:rsid w:val="00E336F7"/>
    <w:rsid w:val="00E35148"/>
    <w:rsid w:val="00E36B64"/>
    <w:rsid w:val="00E3716C"/>
    <w:rsid w:val="00E37C1E"/>
    <w:rsid w:val="00E40318"/>
    <w:rsid w:val="00E41271"/>
    <w:rsid w:val="00E41521"/>
    <w:rsid w:val="00E43A9C"/>
    <w:rsid w:val="00E442FC"/>
    <w:rsid w:val="00E44B0F"/>
    <w:rsid w:val="00E44C73"/>
    <w:rsid w:val="00E44E15"/>
    <w:rsid w:val="00E455B5"/>
    <w:rsid w:val="00E472FF"/>
    <w:rsid w:val="00E4796F"/>
    <w:rsid w:val="00E503A5"/>
    <w:rsid w:val="00E5065D"/>
    <w:rsid w:val="00E51706"/>
    <w:rsid w:val="00E52C17"/>
    <w:rsid w:val="00E53808"/>
    <w:rsid w:val="00E56A13"/>
    <w:rsid w:val="00E57151"/>
    <w:rsid w:val="00E57B30"/>
    <w:rsid w:val="00E60690"/>
    <w:rsid w:val="00E60D81"/>
    <w:rsid w:val="00E61C88"/>
    <w:rsid w:val="00E64BEB"/>
    <w:rsid w:val="00E64DB2"/>
    <w:rsid w:val="00E64F96"/>
    <w:rsid w:val="00E676CA"/>
    <w:rsid w:val="00E6796B"/>
    <w:rsid w:val="00E7127C"/>
    <w:rsid w:val="00E71494"/>
    <w:rsid w:val="00E717C2"/>
    <w:rsid w:val="00E71C56"/>
    <w:rsid w:val="00E72365"/>
    <w:rsid w:val="00E73181"/>
    <w:rsid w:val="00E73778"/>
    <w:rsid w:val="00E74952"/>
    <w:rsid w:val="00E74EE9"/>
    <w:rsid w:val="00E7523D"/>
    <w:rsid w:val="00E76FF3"/>
    <w:rsid w:val="00E778F4"/>
    <w:rsid w:val="00E807E5"/>
    <w:rsid w:val="00E80F58"/>
    <w:rsid w:val="00E83544"/>
    <w:rsid w:val="00E850C3"/>
    <w:rsid w:val="00E85117"/>
    <w:rsid w:val="00E853F8"/>
    <w:rsid w:val="00E86333"/>
    <w:rsid w:val="00E87887"/>
    <w:rsid w:val="00E918DE"/>
    <w:rsid w:val="00E926C2"/>
    <w:rsid w:val="00E95A2D"/>
    <w:rsid w:val="00E962B7"/>
    <w:rsid w:val="00E96D26"/>
    <w:rsid w:val="00EA0373"/>
    <w:rsid w:val="00EA060C"/>
    <w:rsid w:val="00EA1C6B"/>
    <w:rsid w:val="00EA31CC"/>
    <w:rsid w:val="00EA3AAA"/>
    <w:rsid w:val="00EA3D44"/>
    <w:rsid w:val="00EA45CA"/>
    <w:rsid w:val="00EA52AF"/>
    <w:rsid w:val="00EA5A12"/>
    <w:rsid w:val="00EA6097"/>
    <w:rsid w:val="00EA6614"/>
    <w:rsid w:val="00EA6C34"/>
    <w:rsid w:val="00EB09F3"/>
    <w:rsid w:val="00EB1842"/>
    <w:rsid w:val="00EB1A36"/>
    <w:rsid w:val="00EB24BD"/>
    <w:rsid w:val="00EB2D16"/>
    <w:rsid w:val="00EB3621"/>
    <w:rsid w:val="00EB7660"/>
    <w:rsid w:val="00EB7839"/>
    <w:rsid w:val="00EC342F"/>
    <w:rsid w:val="00EC381D"/>
    <w:rsid w:val="00EC3C7B"/>
    <w:rsid w:val="00EC6773"/>
    <w:rsid w:val="00EC702A"/>
    <w:rsid w:val="00ED0342"/>
    <w:rsid w:val="00ED0C87"/>
    <w:rsid w:val="00ED0E87"/>
    <w:rsid w:val="00ED1699"/>
    <w:rsid w:val="00ED3D8B"/>
    <w:rsid w:val="00ED5B4B"/>
    <w:rsid w:val="00ED6391"/>
    <w:rsid w:val="00ED6868"/>
    <w:rsid w:val="00ED72D4"/>
    <w:rsid w:val="00ED7482"/>
    <w:rsid w:val="00ED7F36"/>
    <w:rsid w:val="00EE01F1"/>
    <w:rsid w:val="00EE1BF0"/>
    <w:rsid w:val="00EE1EF8"/>
    <w:rsid w:val="00EE26AF"/>
    <w:rsid w:val="00EE2D08"/>
    <w:rsid w:val="00EE4309"/>
    <w:rsid w:val="00EE4B75"/>
    <w:rsid w:val="00EE4C59"/>
    <w:rsid w:val="00EE5069"/>
    <w:rsid w:val="00EE55EF"/>
    <w:rsid w:val="00EE6B46"/>
    <w:rsid w:val="00EF04DD"/>
    <w:rsid w:val="00EF061D"/>
    <w:rsid w:val="00EF1919"/>
    <w:rsid w:val="00EF29C8"/>
    <w:rsid w:val="00EF3E4F"/>
    <w:rsid w:val="00EF5428"/>
    <w:rsid w:val="00EF6C24"/>
    <w:rsid w:val="00EF6DBB"/>
    <w:rsid w:val="00EF7B12"/>
    <w:rsid w:val="00F00501"/>
    <w:rsid w:val="00F00BC9"/>
    <w:rsid w:val="00F00C0C"/>
    <w:rsid w:val="00F01BD7"/>
    <w:rsid w:val="00F032E5"/>
    <w:rsid w:val="00F0374E"/>
    <w:rsid w:val="00F0432E"/>
    <w:rsid w:val="00F05DDD"/>
    <w:rsid w:val="00F05F7C"/>
    <w:rsid w:val="00F0697E"/>
    <w:rsid w:val="00F06D90"/>
    <w:rsid w:val="00F06E1D"/>
    <w:rsid w:val="00F079C1"/>
    <w:rsid w:val="00F07C19"/>
    <w:rsid w:val="00F107B4"/>
    <w:rsid w:val="00F1424C"/>
    <w:rsid w:val="00F16185"/>
    <w:rsid w:val="00F170C5"/>
    <w:rsid w:val="00F218A6"/>
    <w:rsid w:val="00F21F6D"/>
    <w:rsid w:val="00F22066"/>
    <w:rsid w:val="00F23A80"/>
    <w:rsid w:val="00F246F5"/>
    <w:rsid w:val="00F248EA"/>
    <w:rsid w:val="00F24EFC"/>
    <w:rsid w:val="00F25276"/>
    <w:rsid w:val="00F2646D"/>
    <w:rsid w:val="00F26C2A"/>
    <w:rsid w:val="00F27F1F"/>
    <w:rsid w:val="00F27F42"/>
    <w:rsid w:val="00F30DB1"/>
    <w:rsid w:val="00F318C2"/>
    <w:rsid w:val="00F31A10"/>
    <w:rsid w:val="00F32F21"/>
    <w:rsid w:val="00F3325F"/>
    <w:rsid w:val="00F3385A"/>
    <w:rsid w:val="00F3507B"/>
    <w:rsid w:val="00F35689"/>
    <w:rsid w:val="00F37383"/>
    <w:rsid w:val="00F407E0"/>
    <w:rsid w:val="00F40813"/>
    <w:rsid w:val="00F45667"/>
    <w:rsid w:val="00F47178"/>
    <w:rsid w:val="00F47559"/>
    <w:rsid w:val="00F5063E"/>
    <w:rsid w:val="00F508ED"/>
    <w:rsid w:val="00F51754"/>
    <w:rsid w:val="00F51782"/>
    <w:rsid w:val="00F51AEA"/>
    <w:rsid w:val="00F53A15"/>
    <w:rsid w:val="00F543D5"/>
    <w:rsid w:val="00F544DC"/>
    <w:rsid w:val="00F54660"/>
    <w:rsid w:val="00F54DC9"/>
    <w:rsid w:val="00F54F19"/>
    <w:rsid w:val="00F556C8"/>
    <w:rsid w:val="00F563BB"/>
    <w:rsid w:val="00F56807"/>
    <w:rsid w:val="00F57517"/>
    <w:rsid w:val="00F57BD3"/>
    <w:rsid w:val="00F57C63"/>
    <w:rsid w:val="00F61386"/>
    <w:rsid w:val="00F61A01"/>
    <w:rsid w:val="00F61E0A"/>
    <w:rsid w:val="00F628AF"/>
    <w:rsid w:val="00F63FDE"/>
    <w:rsid w:val="00F65523"/>
    <w:rsid w:val="00F65B44"/>
    <w:rsid w:val="00F65C19"/>
    <w:rsid w:val="00F66852"/>
    <w:rsid w:val="00F67957"/>
    <w:rsid w:val="00F7196D"/>
    <w:rsid w:val="00F71F0B"/>
    <w:rsid w:val="00F73061"/>
    <w:rsid w:val="00F737F2"/>
    <w:rsid w:val="00F7405E"/>
    <w:rsid w:val="00F7755B"/>
    <w:rsid w:val="00F77779"/>
    <w:rsid w:val="00F803FA"/>
    <w:rsid w:val="00F81F27"/>
    <w:rsid w:val="00F83763"/>
    <w:rsid w:val="00F86E25"/>
    <w:rsid w:val="00F87030"/>
    <w:rsid w:val="00F92333"/>
    <w:rsid w:val="00F926AC"/>
    <w:rsid w:val="00F9290C"/>
    <w:rsid w:val="00F938A1"/>
    <w:rsid w:val="00F94596"/>
    <w:rsid w:val="00F9632A"/>
    <w:rsid w:val="00F96820"/>
    <w:rsid w:val="00F96C54"/>
    <w:rsid w:val="00F96F99"/>
    <w:rsid w:val="00F9774A"/>
    <w:rsid w:val="00FA232E"/>
    <w:rsid w:val="00FA2CC5"/>
    <w:rsid w:val="00FA4943"/>
    <w:rsid w:val="00FA4B1B"/>
    <w:rsid w:val="00FA575F"/>
    <w:rsid w:val="00FA786C"/>
    <w:rsid w:val="00FB017D"/>
    <w:rsid w:val="00FB0EA7"/>
    <w:rsid w:val="00FB179A"/>
    <w:rsid w:val="00FB1BA0"/>
    <w:rsid w:val="00FB235D"/>
    <w:rsid w:val="00FB23B9"/>
    <w:rsid w:val="00FB4A0B"/>
    <w:rsid w:val="00FB6561"/>
    <w:rsid w:val="00FC08A2"/>
    <w:rsid w:val="00FC0E56"/>
    <w:rsid w:val="00FC16EB"/>
    <w:rsid w:val="00FC32CC"/>
    <w:rsid w:val="00FC44AF"/>
    <w:rsid w:val="00FC6B03"/>
    <w:rsid w:val="00FD1C05"/>
    <w:rsid w:val="00FD294B"/>
    <w:rsid w:val="00FD33E9"/>
    <w:rsid w:val="00FD4B06"/>
    <w:rsid w:val="00FD4DC7"/>
    <w:rsid w:val="00FE1658"/>
    <w:rsid w:val="00FE22BB"/>
    <w:rsid w:val="00FE2AA3"/>
    <w:rsid w:val="00FE3833"/>
    <w:rsid w:val="00FE387D"/>
    <w:rsid w:val="00FE3A0E"/>
    <w:rsid w:val="00FE3D1F"/>
    <w:rsid w:val="00FE4268"/>
    <w:rsid w:val="00FE44E9"/>
    <w:rsid w:val="00FE495E"/>
    <w:rsid w:val="00FE5FD4"/>
    <w:rsid w:val="00FE7D28"/>
    <w:rsid w:val="00FE7DC5"/>
    <w:rsid w:val="00FF2590"/>
    <w:rsid w:val="00FF351E"/>
    <w:rsid w:val="00FF3F72"/>
    <w:rsid w:val="00FF4E56"/>
    <w:rsid w:val="00FF53CD"/>
    <w:rsid w:val="00FF6851"/>
    <w:rsid w:val="00FF72C9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F845"/>
  <w15:docId w15:val="{CBB25808-3109-4949-8E70-C7588A13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C7"/>
  </w:style>
  <w:style w:type="paragraph" w:styleId="Heading1">
    <w:name w:val="heading 1"/>
    <w:basedOn w:val="Normal"/>
    <w:next w:val="Normal"/>
    <w:uiPriority w:val="9"/>
    <w:qFormat/>
    <w:rsid w:val="003767C7"/>
    <w:pPr>
      <w:numPr>
        <w:numId w:val="19"/>
      </w:numPr>
      <w:spacing w:before="120" w:after="120"/>
      <w:jc w:val="both"/>
      <w:outlineLvl w:val="0"/>
    </w:pPr>
    <w:rPr>
      <w:rFonts w:eastAsia="Arial" w:cs="Arial"/>
      <w:b/>
      <w:smallCaps/>
      <w:color w:val="000000"/>
      <w:sz w:val="22"/>
    </w:rPr>
  </w:style>
  <w:style w:type="paragraph" w:styleId="Heading2">
    <w:name w:val="heading 2"/>
    <w:basedOn w:val="Normal"/>
    <w:next w:val="Normal"/>
    <w:uiPriority w:val="9"/>
    <w:unhideWhenUsed/>
    <w:qFormat/>
    <w:rsid w:val="003767C7"/>
    <w:pPr>
      <w:numPr>
        <w:ilvl w:val="1"/>
        <w:numId w:val="19"/>
      </w:numPr>
      <w:spacing w:before="120" w:after="120"/>
      <w:jc w:val="both"/>
      <w:outlineLvl w:val="1"/>
    </w:pPr>
    <w:rPr>
      <w:rFonts w:eastAsia="Arial" w:cs="Arial"/>
      <w:b/>
      <w:smallCaps/>
      <w:color w:val="000000"/>
      <w:sz w:val="22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003767C7"/>
    <w:pPr>
      <w:numPr>
        <w:ilvl w:val="2"/>
        <w:numId w:val="19"/>
      </w:numPr>
      <w:spacing w:before="60" w:after="60"/>
      <w:jc w:val="both"/>
      <w:outlineLvl w:val="2"/>
    </w:pPr>
    <w:rPr>
      <w:rFonts w:eastAsia="Arial" w:cs="Arial"/>
      <w:b/>
      <w:color w:val="000000"/>
      <w:sz w:val="22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9"/>
      </w:numPr>
      <w:tabs>
        <w:tab w:val="left" w:pos="2268"/>
      </w:tabs>
      <w:spacing w:before="60" w:after="60"/>
      <w:jc w:val="both"/>
      <w:outlineLvl w:val="3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9"/>
      </w:numPr>
      <w:tabs>
        <w:tab w:val="left" w:pos="2835"/>
      </w:tabs>
      <w:spacing w:before="120" w:after="120"/>
      <w:jc w:val="both"/>
      <w:outlineLvl w:val="4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9"/>
      </w:numPr>
      <w:tabs>
        <w:tab w:val="left" w:pos="3402"/>
      </w:tabs>
      <w:spacing w:after="240"/>
      <w:outlineLvl w:val="5"/>
    </w:pPr>
    <w:rPr>
      <w:rFonts w:ascii="Arial" w:eastAsia="Arial" w:hAnsi="Arial" w:cs="Arial"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7C7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7C7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7C7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99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7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1559C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3AE5"/>
    <w:pPr>
      <w:ind w:left="720"/>
      <w:contextualSpacing/>
    </w:pPr>
  </w:style>
  <w:style w:type="paragraph" w:customStyle="1" w:styleId="paragraph">
    <w:name w:val="paragraph"/>
    <w:basedOn w:val="Normal"/>
    <w:rsid w:val="00831872"/>
  </w:style>
  <w:style w:type="character" w:customStyle="1" w:styleId="normaltextrun1">
    <w:name w:val="normaltextrun1"/>
    <w:basedOn w:val="DefaultParagraphFont"/>
    <w:rsid w:val="00831872"/>
  </w:style>
  <w:style w:type="character" w:customStyle="1" w:styleId="eop">
    <w:name w:val="eop"/>
    <w:basedOn w:val="DefaultParagraphFont"/>
    <w:rsid w:val="0083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OR</a:t>
            </a:r>
            <a:r>
              <a:rPr lang="hr-HR"/>
              <a:t>GANIZACIJSKA STRUKTURA</a:t>
            </a:r>
            <a:endParaRPr lang="en-US"/>
          </a:p>
        </c:rich>
      </c:tx>
      <c:layout>
        <c:manualLayout>
          <c:xMode val="edge"/>
          <c:yMode val="edge"/>
          <c:x val="0.31617765814266485"/>
          <c:y val="2.2681238788541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230386665584328"/>
          <c:w val="1"/>
          <c:h val="0.40405167628158156"/>
        </c:manualLayout>
      </c:layout>
      <c:pie3DChart>
        <c:varyColors val="1"/>
        <c:ser>
          <c:idx val="0"/>
          <c:order val="0"/>
          <c:cat>
            <c:strRef>
              <c:f>'[PO ORGANIZACIJSKOJ.xlsx]Sheet1'!$B$4:$B$89</c:f>
              <c:strCache>
                <c:ptCount val="10"/>
                <c:pt idx="0">
                  <c:v>UPRAVNI ODJEL ZA POSLOVE GRADONAČELNIKA</c:v>
                </c:pt>
                <c:pt idx="1">
                  <c:v>UPRAVNI ODJEL ZA PRORAČUN I FINANCIJE</c:v>
                </c:pt>
                <c:pt idx="2">
                  <c:v>UO  ZA PROSTORNO UREĐENJE I POSLOVE PROVEDBE DOKUMENATA PROSTORNOG UREĐENJA</c:v>
                </c:pt>
                <c:pt idx="3">
                  <c:v>UPRAVNI ODJEL ZA  GRADNJU I ZAŠTITU OKOLIŠA</c:v>
                </c:pt>
                <c:pt idx="4">
                  <c:v>UPRAVNI ODJEL ZA KOMUNALNO GOSPODARSTVO, PROMET  I MJESNU SAMOUPRAVU</c:v>
                </c:pt>
                <c:pt idx="5">
                  <c:v>UPRAVNI ODJEL ZA IMOVINSKO PRAVNE POSLOVE I UPRAVLJANJE IMOVINOM</c:v>
                </c:pt>
                <c:pt idx="6">
                  <c:v>UPRAVNI ODJEL ZA  GOSPODARSTVO, RAZVOJ GRADA I EU FONDOVE</c:v>
                </c:pt>
                <c:pt idx="7">
                  <c:v>UPRAVNI ODJEL ZA DRUŠTVENE DJELATNOSTI</c:v>
                </c:pt>
                <c:pt idx="8">
                  <c:v>SLUŽBA ZA PROVEDBU ITU MEHANIZMA</c:v>
                </c:pt>
                <c:pt idx="9">
                  <c:v>SLUŽBA - VLASTITI POGON GRADA ZA OBAVLJANJE KOMUNALNE DJELATNOSTI</c:v>
                </c:pt>
              </c:strCache>
            </c:strRef>
          </c:cat>
          <c:val>
            <c:numRef>
              <c:f>'[PO ORGANIZACIJSKOJ.xlsx]Sheet1'!$C$4:$C$89</c:f>
            </c:numRef>
          </c:val>
          <c:extLst>
            <c:ext xmlns:c16="http://schemas.microsoft.com/office/drawing/2014/chart" uri="{C3380CC4-5D6E-409C-BE32-E72D297353CC}">
              <c16:uniqueId val="{00000000-E6D4-49C9-85B1-4F5D3242192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E6D4-49C9-85B1-4F5D324219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E6D4-49C9-85B1-4F5D324219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E6D4-49C9-85B1-4F5D3242192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E6D4-49C9-85B1-4F5D3242192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E6D4-49C9-85B1-4F5D3242192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E6D4-49C9-85B1-4F5D3242192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E6D4-49C9-85B1-4F5D3242192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E6D4-49C9-85B1-4F5D3242192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E6D4-49C9-85B1-4F5D3242192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E6D4-49C9-85B1-4F5D324219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'[PO ORGANIZACIJSKOJ.xlsx]Sheet1'!$B$4:$B$89</c:f>
              <c:strCache>
                <c:ptCount val="10"/>
                <c:pt idx="0">
                  <c:v>UPRAVNI ODJEL ZA POSLOVE GRADONAČELNIKA</c:v>
                </c:pt>
                <c:pt idx="1">
                  <c:v>UPRAVNI ODJEL ZA PRORAČUN I FINANCIJE</c:v>
                </c:pt>
                <c:pt idx="2">
                  <c:v>UO  ZA PROSTORNO UREĐENJE I POSLOVE PROVEDBE DOKUMENATA PROSTORNOG UREĐENJA</c:v>
                </c:pt>
                <c:pt idx="3">
                  <c:v>UPRAVNI ODJEL ZA  GRADNJU I ZAŠTITU OKOLIŠA</c:v>
                </c:pt>
                <c:pt idx="4">
                  <c:v>UPRAVNI ODJEL ZA KOMUNALNO GOSPODARSTVO, PROMET  I MJESNU SAMOUPRAVU</c:v>
                </c:pt>
                <c:pt idx="5">
                  <c:v>UPRAVNI ODJEL ZA IMOVINSKO PRAVNE POSLOVE I UPRAVLJANJE IMOVINOM</c:v>
                </c:pt>
                <c:pt idx="6">
                  <c:v>UPRAVNI ODJEL ZA  GOSPODARSTVO, RAZVOJ GRADA I EU FONDOVE</c:v>
                </c:pt>
                <c:pt idx="7">
                  <c:v>UPRAVNI ODJEL ZA DRUŠTVENE DJELATNOSTI</c:v>
                </c:pt>
                <c:pt idx="8">
                  <c:v>SLUŽBA ZA PROVEDBU ITU MEHANIZMA</c:v>
                </c:pt>
                <c:pt idx="9">
                  <c:v>SLUŽBA - VLASTITI POGON GRADA ZA OBAVLJANJE KOMUNALNE DJELATNOSTI</c:v>
                </c:pt>
              </c:strCache>
            </c:strRef>
          </c:cat>
          <c:val>
            <c:numRef>
              <c:f>'[PO ORGANIZACIJSKOJ.xlsx]Sheet1'!$D$4:$D$89</c:f>
              <c:numCache>
                <c:formatCode>[$-1041A]#,##0.00;\-#,##0.00</c:formatCode>
                <c:ptCount val="10"/>
                <c:pt idx="0">
                  <c:v>4.5278448736269059</c:v>
                </c:pt>
                <c:pt idx="1">
                  <c:v>6.4183667052286255</c:v>
                </c:pt>
                <c:pt idx="2">
                  <c:v>0.50352070791903902</c:v>
                </c:pt>
                <c:pt idx="3">
                  <c:v>39.279384806042167</c:v>
                </c:pt>
                <c:pt idx="4">
                  <c:v>10.408849155967639</c:v>
                </c:pt>
                <c:pt idx="5">
                  <c:v>1.3311938952628632</c:v>
                </c:pt>
                <c:pt idx="6">
                  <c:v>5.3130432125965008</c:v>
                </c:pt>
                <c:pt idx="7">
                  <c:v>31.457237852956627</c:v>
                </c:pt>
                <c:pt idx="8">
                  <c:v>0.11348323678145281</c:v>
                </c:pt>
                <c:pt idx="9">
                  <c:v>0.6470755536181837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6D4-49C9-85B1-4F5D324219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670259115745393E-3"/>
          <c:y val="0.59130189944531042"/>
          <c:w val="0.96190290596745709"/>
          <c:h val="0.39363008557940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6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A919-D6C8-4518-B04A-7AC7E976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9177</Words>
  <Characters>52311</Characters>
  <Application>Microsoft Office Word</Application>
  <DocSecurity>4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Presečan</dc:creator>
  <cp:lastModifiedBy>Iva Matijević</cp:lastModifiedBy>
  <cp:revision>2</cp:revision>
  <cp:lastPrinted>2023-11-22T09:30:00Z</cp:lastPrinted>
  <dcterms:created xsi:type="dcterms:W3CDTF">2023-11-27T08:20:00Z</dcterms:created>
  <dcterms:modified xsi:type="dcterms:W3CDTF">2023-11-27T08:20:00Z</dcterms:modified>
</cp:coreProperties>
</file>